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20"/>
        <w:gridCol w:w="2717"/>
        <w:gridCol w:w="1128"/>
        <w:gridCol w:w="168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4318" w:type="dxa"/>
            <w:gridSpan w:val="6"/>
            <w:tcBorders>
              <w:tl2br w:val="nil"/>
              <w:tr2bl w:val="nil"/>
            </w:tcBorders>
            <w:shd w:val="clear" w:color="auto" w:fill="auto"/>
            <w:vAlign w:val="center"/>
          </w:tcPr>
          <w:p>
            <w:pPr>
              <w:widowControl/>
              <w:jc w:val="center"/>
              <w:rPr>
                <w:rFonts w:ascii="黑体" w:hAnsi="黑体" w:eastAsia="黑体" w:cs="宋体"/>
                <w:color w:val="000000"/>
                <w:kern w:val="0"/>
                <w:sz w:val="36"/>
                <w:szCs w:val="36"/>
              </w:rPr>
            </w:pPr>
            <w:bookmarkStart w:id="4" w:name="_GoBack"/>
            <w:bookmarkEnd w:id="4"/>
            <w:r>
              <w:rPr>
                <w:rFonts w:hint="eastAsia" w:ascii="黑体" w:hAnsi="黑体" w:eastAsia="黑体" w:cs="宋体"/>
                <w:color w:val="000000"/>
                <w:kern w:val="0"/>
                <w:sz w:val="36"/>
                <w:szCs w:val="36"/>
              </w:rPr>
              <w:t>2015年度东南大学科技成果项目汇编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4318" w:type="dxa"/>
            <w:gridSpan w:val="6"/>
            <w:tcBorders>
              <w:tl2br w:val="nil"/>
              <w:tr2bl w:val="nil"/>
            </w:tcBorders>
            <w:shd w:val="clear" w:color="auto" w:fill="auto"/>
            <w:vAlign w:val="center"/>
          </w:tcPr>
          <w:p>
            <w:pPr>
              <w:widowControl/>
              <w:jc w:val="center"/>
              <w:rPr>
                <w:rFonts w:ascii="黑体" w:hAnsi="黑体" w:eastAsia="黑体" w:cs="宋体"/>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57"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820"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所属领域</w:t>
            </w:r>
          </w:p>
        </w:tc>
        <w:tc>
          <w:tcPr>
            <w:tcW w:w="2717"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成果名称</w:t>
            </w:r>
          </w:p>
        </w:tc>
        <w:tc>
          <w:tcPr>
            <w:tcW w:w="1128"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意向合作方式</w:t>
            </w:r>
          </w:p>
        </w:tc>
        <w:tc>
          <w:tcPr>
            <w:tcW w:w="1684"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技术成熟程度</w:t>
            </w:r>
          </w:p>
        </w:tc>
        <w:tc>
          <w:tcPr>
            <w:tcW w:w="7512" w:type="dxa"/>
            <w:tcBorders>
              <w:tl2br w:val="nil"/>
              <w:tr2bl w:val="nil"/>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457" w:type="dxa"/>
            <w:vMerge w:val="restart"/>
            <w:tcBorders>
              <w:tl2br w:val="nil"/>
              <w:tr2bl w:val="nil"/>
            </w:tcBorders>
            <w:shd w:val="clear" w:color="auto" w:fill="auto"/>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20"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能源环保 </w:t>
            </w: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szCs w:val="21"/>
              </w:rPr>
              <w:t>1、斜日字单元正三角形布管螺旋折流板电加热器</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szCs w:val="21"/>
              </w:rPr>
              <w:t>工业大中型电加热器通常采用多圈环形分层布置</w:t>
            </w:r>
            <w:r>
              <w:rPr>
                <w:rFonts w:asciiTheme="minorEastAsia" w:hAnsiTheme="minorEastAsia"/>
                <w:szCs w:val="21"/>
              </w:rPr>
              <w:t>U</w:t>
            </w:r>
            <w:r>
              <w:rPr>
                <w:rFonts w:hint="eastAsia" w:asciiTheme="minorEastAsia" w:hAnsiTheme="minorEastAsia"/>
                <w:szCs w:val="21"/>
              </w:rPr>
              <w:t>型电加热管，并以弓形折流板支撑管束，其</w:t>
            </w:r>
            <w:r>
              <w:rPr>
                <w:rFonts w:asciiTheme="minorEastAsia" w:hAnsiTheme="minorEastAsia"/>
                <w:szCs w:val="21"/>
              </w:rPr>
              <w:t>U</w:t>
            </w:r>
            <w:r>
              <w:rPr>
                <w:rFonts w:hint="eastAsia" w:asciiTheme="minorEastAsia" w:hAnsiTheme="minorEastAsia"/>
                <w:szCs w:val="21"/>
              </w:rPr>
              <w:t>型电加热管管间距各不相同，使流场分布不均匀，而且存在着有流动死区、传热系数较低、流动阻力较大，易诱导振动和结垢、电加热管表面温度不均匀、易形成局部热点，缩短使用寿命等缺点。斜日字单元正三角形布管螺旋折流板电加热器按正三角形网格布管，流动方向基本不变，具有高效低阻的优点，可以节省电加热器传热面积</w:t>
            </w:r>
            <w:r>
              <w:rPr>
                <w:rFonts w:asciiTheme="minorEastAsia" w:hAnsiTheme="minorEastAsia"/>
                <w:szCs w:val="21"/>
              </w:rPr>
              <w:t>30%</w:t>
            </w:r>
            <w:r>
              <w:rPr>
                <w:rFonts w:hint="eastAsia" w:asciiTheme="minorEastAsia" w:hAnsiTheme="minorEastAsia"/>
                <w:szCs w:val="21"/>
              </w:rPr>
              <w:t>以上，表面温度较低且均匀，使用寿命延长；采用激光切割，制造方便，成本低廉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szCs w:val="21"/>
              </w:rPr>
              <w:t>2、基于声波的锅炉温度场测量系统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420" w:firstLineChars="200"/>
              <w:rPr>
                <w:rFonts w:asciiTheme="minorEastAsia" w:hAnsiTheme="minorEastAsia"/>
                <w:szCs w:val="21"/>
              </w:rPr>
            </w:pPr>
            <w:r>
              <w:rPr>
                <w:rFonts w:hint="eastAsia" w:asciiTheme="minorEastAsia" w:hAnsiTheme="minorEastAsia"/>
                <w:szCs w:val="21"/>
              </w:rPr>
              <w:t>基于声波在特定介质中的传播速度与介质温度间成单值函数关系的原理，设计开发了基于电声源的锅炉温度场测量系统，并已申请国家发明专利。系统结构简单，维护方便，可以实时测量和显示锅炉内部三维温度场，便于运行人员据此及时判断炉内燃烧状况，并进行相应调整，实现燃烧优化；同时有利于防止火焰中心偏斜，减少事故发生。</w:t>
            </w:r>
          </w:p>
          <w:p>
            <w:pPr>
              <w:widowControl/>
              <w:rPr>
                <w:rFonts w:cs="宋体" w:asciiTheme="minorEastAsia" w:hAnsiTheme="minorEastAsia"/>
                <w:color w:val="000000"/>
                <w:kern w:val="0"/>
                <w:szCs w:val="21"/>
              </w:rPr>
            </w:pPr>
            <w:r>
              <w:rPr>
                <w:rFonts w:hint="eastAsia" w:asciiTheme="minorEastAsia" w:hAnsiTheme="minorEastAsia"/>
                <w:szCs w:val="21"/>
              </w:rPr>
              <w:t>该系统经大量理论研究和现场试验，目前已实现成功运行。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3、工业余热驱动溶液除湿干燥</w:t>
            </w:r>
            <w:r>
              <w:rPr>
                <w:rFonts w:asciiTheme="minorEastAsia" w:hAnsiTheme="minorEastAsia"/>
                <w:szCs w:val="21"/>
              </w:rPr>
              <w:t>/</w:t>
            </w:r>
            <w:r>
              <w:rPr>
                <w:rFonts w:hint="eastAsia" w:asciiTheme="minorEastAsia" w:hAnsiTheme="minorEastAsia"/>
                <w:szCs w:val="21"/>
              </w:rPr>
              <w:t>降温工艺冷源技术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小批量</w:t>
            </w:r>
          </w:p>
          <w:p>
            <w:pPr>
              <w:widowControl/>
              <w:jc w:val="center"/>
              <w:rPr>
                <w:rFonts w:cs="宋体" w:asciiTheme="minorEastAsia" w:hAnsiTheme="minorEastAsia"/>
                <w:color w:val="000000"/>
                <w:kern w:val="0"/>
                <w:szCs w:val="21"/>
              </w:rPr>
            </w:pPr>
            <w:r>
              <w:rPr>
                <w:rFonts w:hint="eastAsia" w:asciiTheme="minorEastAsia" w:hAnsiTheme="minorEastAsia"/>
                <w:szCs w:val="21"/>
              </w:rPr>
              <w:t>生产阶段</w:t>
            </w:r>
          </w:p>
        </w:tc>
        <w:tc>
          <w:tcPr>
            <w:tcW w:w="7512" w:type="dxa"/>
            <w:tcBorders>
              <w:tl2br w:val="nil"/>
              <w:tr2bl w:val="nil"/>
            </w:tcBorders>
            <w:shd w:val="clear" w:color="auto" w:fill="auto"/>
            <w:vAlign w:val="center"/>
          </w:tcPr>
          <w:p>
            <w:pPr>
              <w:ind w:firstLine="420" w:firstLineChars="200"/>
              <w:rPr>
                <w:rFonts w:asciiTheme="minorEastAsia" w:hAnsiTheme="minorEastAsia"/>
                <w:szCs w:val="21"/>
              </w:rPr>
            </w:pPr>
            <w:r>
              <w:rPr>
                <w:rFonts w:hint="eastAsia" w:asciiTheme="minorEastAsia" w:hAnsiTheme="minorEastAsia"/>
                <w:szCs w:val="21"/>
              </w:rPr>
              <w:t>针对工业生产过程中存在大量</w:t>
            </w:r>
            <w:r>
              <w:rPr>
                <w:rFonts w:asciiTheme="minorEastAsia" w:hAnsiTheme="minorEastAsia"/>
                <w:szCs w:val="21"/>
              </w:rPr>
              <w:t>80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左右的低温废热，如空压机余热、工艺过程散热等，为了将该热能充分利用进行除湿干燥、工艺过程降温、工位舒适性送风需要，研发了基于溶液除湿的溶液除湿干燥</w:t>
            </w:r>
            <w:r>
              <w:rPr>
                <w:rFonts w:asciiTheme="minorEastAsia" w:hAnsiTheme="minorEastAsia"/>
                <w:szCs w:val="21"/>
              </w:rPr>
              <w:t>/</w:t>
            </w:r>
            <w:r>
              <w:rPr>
                <w:rFonts w:hint="eastAsia" w:asciiTheme="minorEastAsia" w:hAnsiTheme="minorEastAsia"/>
                <w:szCs w:val="21"/>
              </w:rPr>
              <w:t>制冷</w:t>
            </w:r>
            <w:r>
              <w:rPr>
                <w:rFonts w:asciiTheme="minorEastAsia" w:hAnsiTheme="minorEastAsia"/>
                <w:szCs w:val="21"/>
              </w:rPr>
              <w:t>/</w:t>
            </w:r>
            <w:r>
              <w:rPr>
                <w:rFonts w:hint="eastAsia" w:asciiTheme="minorEastAsia" w:hAnsiTheme="minorEastAsia"/>
                <w:szCs w:val="21"/>
              </w:rPr>
              <w:t>空调技术，通过溶液独立除湿技术与蒸发冷却</w:t>
            </w:r>
            <w:r>
              <w:rPr>
                <w:rFonts w:asciiTheme="minorEastAsia" w:hAnsiTheme="minorEastAsia"/>
                <w:szCs w:val="21"/>
              </w:rPr>
              <w:t>/</w:t>
            </w:r>
            <w:r>
              <w:rPr>
                <w:rFonts w:hint="eastAsia" w:asciiTheme="minorEastAsia" w:hAnsiTheme="minorEastAsia"/>
                <w:szCs w:val="21"/>
              </w:rPr>
              <w:t>冷冻技术有机结合，实现了</w:t>
            </w:r>
            <w:r>
              <w:rPr>
                <w:rFonts w:asciiTheme="minorEastAsia" w:hAnsiTheme="minorEastAsia"/>
                <w:szCs w:val="21"/>
              </w:rPr>
              <w:t>60-80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太阳能、工业余热驱动的除湿干燥、制冷、空调技术。可以服务于办公、工业厂房空调，工业除湿干燥等领域，目前已经形成三种技术产品：</w:t>
            </w:r>
            <w:r>
              <w:rPr>
                <w:rFonts w:asciiTheme="minorEastAsia" w:hAnsiTheme="minorEastAsia"/>
                <w:szCs w:val="21"/>
              </w:rPr>
              <w:t xml:space="preserve">(1) </w:t>
            </w:r>
            <w:r>
              <w:rPr>
                <w:rFonts w:hint="eastAsia" w:asciiTheme="minorEastAsia" w:hAnsiTheme="minorEastAsia"/>
                <w:szCs w:val="21"/>
              </w:rPr>
              <w:t>太阳能</w:t>
            </w:r>
            <w:r>
              <w:rPr>
                <w:rFonts w:asciiTheme="minorEastAsia" w:hAnsiTheme="minorEastAsia"/>
                <w:szCs w:val="21"/>
              </w:rPr>
              <w:t>/</w:t>
            </w:r>
            <w:r>
              <w:rPr>
                <w:rFonts w:hint="eastAsia" w:asciiTheme="minorEastAsia" w:hAnsiTheme="minorEastAsia"/>
                <w:szCs w:val="21"/>
              </w:rPr>
              <w:t>工业余热驱动溶液除湿空调</w:t>
            </w:r>
            <w:r>
              <w:rPr>
                <w:rFonts w:asciiTheme="minorEastAsia" w:hAnsiTheme="minorEastAsia"/>
                <w:szCs w:val="21"/>
              </w:rPr>
              <w:t>(</w:t>
            </w:r>
            <w:r>
              <w:rPr>
                <w:rFonts w:hint="eastAsia" w:asciiTheme="minorEastAsia" w:hAnsiTheme="minorEastAsia"/>
                <w:szCs w:val="21"/>
              </w:rPr>
              <w:t>供应</w:t>
            </w:r>
            <w:r>
              <w:rPr>
                <w:rFonts w:asciiTheme="minorEastAsia" w:hAnsiTheme="minorEastAsia"/>
                <w:szCs w:val="21"/>
              </w:rPr>
              <w:t>14-20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送风，驱动能源为</w:t>
            </w:r>
            <w:r>
              <w:rPr>
                <w:rFonts w:asciiTheme="minorEastAsia" w:hAnsiTheme="minorEastAsia"/>
                <w:szCs w:val="21"/>
              </w:rPr>
              <w:t>60-80</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热能，节省大量电能</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压缩空气溶液除湿干燥技术，提供常压露点</w:t>
            </w:r>
            <w:r>
              <w:rPr>
                <w:rFonts w:asciiTheme="minorEastAsia" w:hAnsiTheme="minorEastAsia"/>
                <w:szCs w:val="21"/>
              </w:rPr>
              <w:t>-35</w:t>
            </w:r>
            <w:r>
              <w:rPr>
                <w:rFonts w:asciiTheme="minorEastAsia" w:hAnsiTheme="minorEastAsia"/>
                <w:szCs w:val="21"/>
                <w:vertAlign w:val="superscript"/>
              </w:rPr>
              <w:t>o</w:t>
            </w:r>
            <w:r>
              <w:rPr>
                <w:rFonts w:asciiTheme="minorEastAsia" w:hAnsiTheme="minorEastAsia"/>
                <w:szCs w:val="21"/>
              </w:rPr>
              <w:t>C</w:t>
            </w:r>
            <w:r>
              <w:rPr>
                <w:rFonts w:hint="eastAsia" w:asciiTheme="minorEastAsia" w:hAnsiTheme="minorEastAsia"/>
                <w:szCs w:val="21"/>
              </w:rPr>
              <w:t>以下干燥空气；</w:t>
            </w:r>
            <w:r>
              <w:rPr>
                <w:rFonts w:asciiTheme="minorEastAsia" w:hAnsiTheme="minorEastAsia"/>
                <w:szCs w:val="21"/>
              </w:rPr>
              <w:t>(3)</w:t>
            </w:r>
            <w:r>
              <w:rPr>
                <w:rFonts w:hint="eastAsia" w:asciiTheme="minorEastAsia" w:hAnsiTheme="minorEastAsia"/>
                <w:szCs w:val="21"/>
              </w:rPr>
              <w:t>基于溶液除湿的冷水机组，为工艺降温过程提供冷源。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8"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4、电动车系统的建模、分析与先进控制技术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研制阶段</w:t>
            </w:r>
          </w:p>
          <w:p>
            <w:pPr>
              <w:widowControl/>
              <w:jc w:val="center"/>
              <w:rPr>
                <w:rFonts w:asciiTheme="minorEastAsia" w:hAnsiTheme="minorEastAsia"/>
                <w:szCs w:val="21"/>
              </w:rPr>
            </w:pPr>
            <w:r>
              <w:rPr>
                <w:rFonts w:hint="eastAsia" w:asciiTheme="minorEastAsia" w:hAnsiTheme="minorEastAsia"/>
                <w:szCs w:val="21"/>
              </w:rPr>
              <w:t>试生产阶段</w:t>
            </w:r>
          </w:p>
        </w:tc>
        <w:tc>
          <w:tcPr>
            <w:tcW w:w="7512" w:type="dxa"/>
            <w:tcBorders>
              <w:tl2br w:val="nil"/>
              <w:tr2bl w:val="nil"/>
            </w:tcBorders>
            <w:shd w:val="clear" w:color="auto" w:fill="auto"/>
            <w:vAlign w:val="center"/>
          </w:tcPr>
          <w:p>
            <w:pPr>
              <w:ind w:firstLine="432"/>
              <w:rPr>
                <w:rFonts w:asciiTheme="minorEastAsia" w:hAnsiTheme="minorEastAsia"/>
                <w:szCs w:val="21"/>
              </w:rPr>
            </w:pPr>
            <w:r>
              <w:rPr>
                <w:rFonts w:hint="eastAsia" w:asciiTheme="minorEastAsia" w:hAnsiTheme="minorEastAsia"/>
                <w:szCs w:val="21"/>
              </w:rPr>
              <w:t>随着人们生活水平的不断提高和社会的发展进步，环境问题和能源问题已经得到越来越广泛的重视。电动车辆由于其具备很多优势如环保节能、零污染和能量来源途径广泛等优点而逐渐受到人们的喜爱。但是电动车本身是一个受多源干扰影响的非线性系统，传统的控制方法</w:t>
            </w:r>
            <w:r>
              <w:rPr>
                <w:rFonts w:asciiTheme="minorEastAsia" w:hAnsiTheme="minorEastAsia"/>
                <w:szCs w:val="21"/>
              </w:rPr>
              <w:t>(</w:t>
            </w:r>
            <w:r>
              <w:rPr>
                <w:rFonts w:hint="eastAsia" w:asciiTheme="minorEastAsia" w:hAnsiTheme="minorEastAsia"/>
                <w:szCs w:val="21"/>
              </w:rPr>
              <w:t>如</w:t>
            </w:r>
            <w:r>
              <w:rPr>
                <w:rFonts w:asciiTheme="minorEastAsia" w:hAnsiTheme="minorEastAsia"/>
                <w:szCs w:val="21"/>
              </w:rPr>
              <w:t>PI</w:t>
            </w:r>
            <w:r>
              <w:rPr>
                <w:rFonts w:hint="eastAsia" w:asciiTheme="minorEastAsia" w:hAnsiTheme="minorEastAsia"/>
                <w:szCs w:val="21"/>
              </w:rPr>
              <w:t>控制</w:t>
            </w:r>
            <w:r>
              <w:rPr>
                <w:rFonts w:asciiTheme="minorEastAsia" w:hAnsiTheme="minorEastAsia"/>
                <w:szCs w:val="21"/>
              </w:rPr>
              <w:t>)</w:t>
            </w:r>
            <w:r>
              <w:rPr>
                <w:rFonts w:hint="eastAsia" w:asciiTheme="minorEastAsia" w:hAnsiTheme="minorEastAsia"/>
                <w:szCs w:val="21"/>
              </w:rPr>
              <w:t>已经不能满足电动车在高性能场合的需求。</w:t>
            </w:r>
            <w:r>
              <w:rPr>
                <w:rFonts w:hint="eastAsia" w:asciiTheme="minorEastAsia" w:hAnsiTheme="minorEastAsia"/>
                <w:kern w:val="24"/>
                <w:szCs w:val="21"/>
              </w:rPr>
              <w:t>面向电动车控制系统，我们已经拥有一整套的建模、分析和设计方案。我们的成果是，利用时变干扰观测器技术对受外界环境变化、负载变化和模型误差等因素引起的时变干扰进行实时精确估计，从而进行精确补偿，消除干扰对系统造成的不利影响，同时可以与滑模控制或其他先进控制方法相结合，设计和实现基于时变干扰观测器的复合控制方案</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kern w:val="24"/>
                <w:szCs w:val="21"/>
              </w:rPr>
              <w:t>目前已受理多项国家发明专利，发表多篇高水平学术论文。技术成熟，解决方案尤其适合基于位置传感器</w:t>
            </w:r>
            <w:r>
              <w:rPr>
                <w:rFonts w:asciiTheme="minorEastAsia" w:hAnsiTheme="minorEastAsia"/>
                <w:kern w:val="24"/>
                <w:szCs w:val="21"/>
              </w:rPr>
              <w:t>/</w:t>
            </w:r>
            <w:r>
              <w:rPr>
                <w:rFonts w:hint="eastAsia" w:asciiTheme="minorEastAsia" w:hAnsiTheme="minorEastAsia"/>
                <w:kern w:val="24"/>
                <w:szCs w:val="21"/>
              </w:rPr>
              <w:t>无位置传感器的模型参数不匹配、受大时变干扰影响和有高效率需求的电动独轮车、两轮车和四轮车等电动车辆应用场合。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48"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宋体" w:hAnsi="宋体"/>
                <w:szCs w:val="21"/>
              </w:rPr>
              <w:t>5、硅晶片线切割用</w:t>
            </w:r>
            <w:r>
              <w:rPr>
                <w:rFonts w:ascii="宋体" w:hAnsi="宋体"/>
                <w:szCs w:val="21"/>
              </w:rPr>
              <w:t>6HSiC</w:t>
            </w:r>
            <w:r>
              <w:rPr>
                <w:rFonts w:hint="eastAsia" w:ascii="宋体" w:hAnsi="宋体"/>
                <w:szCs w:val="21"/>
              </w:rPr>
              <w:t>微粉材料的研究及产业化</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批量生产阶段</w:t>
            </w:r>
          </w:p>
        </w:tc>
        <w:tc>
          <w:tcPr>
            <w:tcW w:w="7512" w:type="dxa"/>
            <w:tcBorders>
              <w:tl2br w:val="nil"/>
              <w:tr2bl w:val="nil"/>
            </w:tcBorders>
            <w:shd w:val="clear" w:color="auto" w:fill="auto"/>
            <w:vAlign w:val="center"/>
          </w:tcPr>
          <w:p>
            <w:pPr>
              <w:rPr>
                <w:rFonts w:asciiTheme="minorEastAsia" w:hAnsiTheme="minorEastAsia"/>
                <w:kern w:val="24"/>
                <w:szCs w:val="21"/>
              </w:rPr>
            </w:pPr>
            <w:r>
              <w:rPr>
                <w:rFonts w:hint="eastAsia" w:ascii="宋体" w:hAnsi="宋体"/>
                <w:szCs w:val="21"/>
              </w:rPr>
              <w:t>关键工</w:t>
            </w:r>
            <w:r>
              <w:rPr>
                <w:rFonts w:hint="eastAsia" w:asciiTheme="minorEastAsia" w:hAnsiTheme="minorEastAsia"/>
                <w:kern w:val="24"/>
                <w:szCs w:val="21"/>
              </w:rPr>
              <w:t>序生产的自动化</w:t>
            </w:r>
          </w:p>
          <w:p>
            <w:pPr>
              <w:ind w:firstLine="432"/>
              <w:rPr>
                <w:rFonts w:asciiTheme="minorEastAsia" w:hAnsiTheme="minorEastAsia"/>
                <w:kern w:val="24"/>
                <w:szCs w:val="21"/>
              </w:rPr>
            </w:pPr>
            <w:r>
              <w:rPr>
                <w:rFonts w:hint="eastAsia" w:asciiTheme="minorEastAsia" w:hAnsiTheme="minorEastAsia"/>
                <w:kern w:val="24"/>
                <w:szCs w:val="21"/>
              </w:rPr>
              <w:t>①</w:t>
            </w:r>
            <w:r>
              <w:rPr>
                <w:rFonts w:asciiTheme="minorEastAsia" w:hAnsiTheme="minorEastAsia"/>
                <w:kern w:val="24"/>
                <w:szCs w:val="21"/>
              </w:rPr>
              <w:t xml:space="preserve"> </w:t>
            </w:r>
            <w:r>
              <w:rPr>
                <w:rFonts w:hint="eastAsia" w:asciiTheme="minorEastAsia" w:hAnsiTheme="minorEastAsia"/>
                <w:kern w:val="24"/>
                <w:szCs w:val="21"/>
              </w:rPr>
              <w:t>粉碎（雷蒙磨）自动控制系统的研发研制可对粉碎车间雷蒙磨振动下料、粉碎、气流粗分工况进行实时监测、自动优化控制的自动监控系统。将雷蒙磨因堵塞停机造成的故障次数比现阶段减少</w:t>
            </w:r>
            <w:r>
              <w:rPr>
                <w:rFonts w:asciiTheme="minorEastAsia" w:hAnsiTheme="minorEastAsia"/>
                <w:kern w:val="24"/>
                <w:szCs w:val="21"/>
              </w:rPr>
              <w:t>75%</w:t>
            </w:r>
            <w:r>
              <w:rPr>
                <w:rFonts w:hint="eastAsia" w:asciiTheme="minorEastAsia" w:hAnsiTheme="minorEastAsia"/>
                <w:kern w:val="24"/>
                <w:szCs w:val="21"/>
              </w:rPr>
              <w:t>，且提高工效</w:t>
            </w:r>
            <w:r>
              <w:rPr>
                <w:rFonts w:asciiTheme="minorEastAsia" w:hAnsiTheme="minorEastAsia"/>
                <w:kern w:val="24"/>
                <w:szCs w:val="21"/>
              </w:rPr>
              <w:t>15%</w:t>
            </w:r>
            <w:r>
              <w:rPr>
                <w:rFonts w:hint="eastAsia" w:asciiTheme="minorEastAsia" w:hAnsiTheme="minorEastAsia"/>
                <w:kern w:val="24"/>
                <w:szCs w:val="21"/>
              </w:rPr>
              <w:t>以上。</w:t>
            </w:r>
          </w:p>
          <w:p>
            <w:pPr>
              <w:ind w:firstLine="432"/>
              <w:rPr>
                <w:rFonts w:asciiTheme="minorEastAsia" w:hAnsiTheme="minorEastAsia"/>
                <w:kern w:val="24"/>
                <w:szCs w:val="21"/>
              </w:rPr>
            </w:pPr>
            <w:r>
              <w:rPr>
                <w:rFonts w:asciiTheme="minorEastAsia" w:hAnsiTheme="minorEastAsia"/>
                <w:kern w:val="24"/>
                <w:szCs w:val="21"/>
              </w:rPr>
              <w:t xml:space="preserve">    </w:t>
            </w:r>
            <w:r>
              <w:rPr>
                <w:rFonts w:hint="eastAsia" w:asciiTheme="minorEastAsia" w:hAnsiTheme="minorEastAsia"/>
                <w:kern w:val="24"/>
                <w:szCs w:val="21"/>
              </w:rPr>
              <w:t>②</w:t>
            </w:r>
            <w:r>
              <w:rPr>
                <w:rFonts w:asciiTheme="minorEastAsia" w:hAnsiTheme="minorEastAsia"/>
                <w:kern w:val="24"/>
                <w:szCs w:val="21"/>
              </w:rPr>
              <w:t xml:space="preserve"> </w:t>
            </w:r>
            <w:r>
              <w:rPr>
                <w:rFonts w:hint="eastAsia" w:asciiTheme="minorEastAsia" w:hAnsiTheme="minorEastAsia"/>
                <w:kern w:val="24"/>
                <w:szCs w:val="21"/>
              </w:rPr>
              <w:t>气流分级自动控制系统的研发研制气流分级机用自动控制系统，具备以下功能：可根据分级轮主机负载实时自动调节喂料速度、根据所设定的风压值自动调整变频器运行、根据生产工艺要求自动向企业综合信息平台实时发送生产工况参数。</w:t>
            </w:r>
          </w:p>
          <w:p>
            <w:pPr>
              <w:ind w:firstLine="432"/>
              <w:rPr>
                <w:rFonts w:asciiTheme="minorEastAsia" w:hAnsiTheme="minorEastAsia"/>
                <w:kern w:val="24"/>
                <w:szCs w:val="21"/>
              </w:rPr>
            </w:pPr>
            <w:r>
              <w:rPr>
                <w:rFonts w:asciiTheme="minorEastAsia" w:hAnsiTheme="minorEastAsia"/>
                <w:kern w:val="24"/>
                <w:szCs w:val="21"/>
              </w:rPr>
              <w:t xml:space="preserve">    </w:t>
            </w:r>
            <w:r>
              <w:rPr>
                <w:rFonts w:hint="eastAsia" w:asciiTheme="minorEastAsia" w:hAnsiTheme="minorEastAsia"/>
                <w:kern w:val="24"/>
                <w:szCs w:val="21"/>
              </w:rPr>
              <w:t>③</w:t>
            </w:r>
            <w:r>
              <w:rPr>
                <w:rFonts w:asciiTheme="minorEastAsia" w:hAnsiTheme="minorEastAsia"/>
                <w:kern w:val="24"/>
                <w:szCs w:val="21"/>
              </w:rPr>
              <w:t xml:space="preserve"> </w:t>
            </w:r>
            <w:r>
              <w:rPr>
                <w:rFonts w:hint="eastAsia" w:asciiTheme="minorEastAsia" w:hAnsiTheme="minorEastAsia"/>
                <w:kern w:val="24"/>
                <w:szCs w:val="21"/>
              </w:rPr>
              <w:t>提纯工序实时检测与信息管理系统的研发开发可对提纯缸、脱水机、烘干炉等主要设备工况进行实时监控的智能化监控仪设备。</w:t>
            </w:r>
          </w:p>
          <w:p>
            <w:pPr>
              <w:ind w:firstLine="432"/>
              <w:rPr>
                <w:rFonts w:asciiTheme="minorEastAsia" w:hAnsiTheme="minorEastAsia"/>
                <w:kern w:val="24"/>
                <w:szCs w:val="21"/>
              </w:rPr>
            </w:pPr>
            <w:r>
              <w:rPr>
                <w:rFonts w:asciiTheme="minorEastAsia" w:hAnsiTheme="minorEastAsia"/>
                <w:kern w:val="24"/>
                <w:szCs w:val="21"/>
              </w:rPr>
              <w:t xml:space="preserve">    </w:t>
            </w:r>
            <w:r>
              <w:rPr>
                <w:rFonts w:hint="eastAsia" w:asciiTheme="minorEastAsia" w:hAnsiTheme="minorEastAsia"/>
                <w:kern w:val="24"/>
                <w:szCs w:val="21"/>
              </w:rPr>
              <w:t>④</w:t>
            </w:r>
            <w:r>
              <w:rPr>
                <w:rFonts w:asciiTheme="minorEastAsia" w:hAnsiTheme="minorEastAsia"/>
                <w:kern w:val="24"/>
                <w:szCs w:val="21"/>
              </w:rPr>
              <w:t xml:space="preserve"> </w:t>
            </w:r>
            <w:r>
              <w:rPr>
                <w:rFonts w:hint="eastAsia" w:asciiTheme="minorEastAsia" w:hAnsiTheme="minorEastAsia"/>
                <w:kern w:val="24"/>
                <w:szCs w:val="21"/>
              </w:rPr>
              <w:t>水力分级自动控制系统的研发研发水力分级设备用自动控制系统，可根据工艺曲线要求自动控制水流量。采用水泵变频控制，变常规的高低液位控制为恒液位控制，液位控制精度达到</w:t>
            </w:r>
            <w:r>
              <w:rPr>
                <w:rFonts w:asciiTheme="minorEastAsia" w:hAnsiTheme="minorEastAsia"/>
                <w:kern w:val="24"/>
                <w:szCs w:val="21"/>
              </w:rPr>
              <w:t>0.3%</w:t>
            </w:r>
            <w:r>
              <w:rPr>
                <w:rFonts w:hint="eastAsia" w:asciiTheme="minorEastAsia" w:hAnsiTheme="minorEastAsia"/>
                <w:kern w:val="24"/>
                <w:szCs w:val="21"/>
              </w:rPr>
              <w:t>；研制出料自动切换装置，实现出料无人值守。</w:t>
            </w:r>
          </w:p>
          <w:p>
            <w:pPr>
              <w:ind w:firstLine="432"/>
              <w:rPr>
                <w:rFonts w:asciiTheme="minorEastAsia" w:hAnsiTheme="minorEastAsia"/>
                <w:kern w:val="24"/>
                <w:szCs w:val="21"/>
              </w:rPr>
            </w:pPr>
            <w:r>
              <w:rPr>
                <w:rFonts w:hint="eastAsia" w:asciiTheme="minorEastAsia" w:hAnsiTheme="minorEastAsia"/>
                <w:kern w:val="24"/>
                <w:szCs w:val="21"/>
              </w:rPr>
              <w:t>⑤</w:t>
            </w:r>
            <w:r>
              <w:rPr>
                <w:rFonts w:asciiTheme="minorEastAsia" w:hAnsiTheme="minorEastAsia"/>
                <w:kern w:val="24"/>
                <w:szCs w:val="21"/>
              </w:rPr>
              <w:t xml:space="preserve"> SiC</w:t>
            </w:r>
            <w:r>
              <w:rPr>
                <w:rFonts w:hint="eastAsia" w:asciiTheme="minorEastAsia" w:hAnsiTheme="minorEastAsia"/>
                <w:kern w:val="24"/>
                <w:szCs w:val="21"/>
              </w:rPr>
              <w:t>冶炼炉在线自动测控装置的研发研制</w:t>
            </w:r>
            <w:r>
              <w:rPr>
                <w:rFonts w:asciiTheme="minorEastAsia" w:hAnsiTheme="minorEastAsia"/>
                <w:kern w:val="24"/>
                <w:szCs w:val="21"/>
              </w:rPr>
              <w:t>SiC</w:t>
            </w:r>
            <w:r>
              <w:rPr>
                <w:rFonts w:hint="eastAsia" w:asciiTheme="minorEastAsia" w:hAnsiTheme="minorEastAsia"/>
                <w:kern w:val="24"/>
                <w:szCs w:val="21"/>
              </w:rPr>
              <w:t>冶炼炉在线自动测控装置，可按冶炼工艺和炉温自动进行恒功率综合优化控制，炉温控制精度达到</w:t>
            </w:r>
            <w:r>
              <w:rPr>
                <w:rFonts w:asciiTheme="minorEastAsia" w:hAnsiTheme="minorEastAsia"/>
                <w:kern w:val="24"/>
                <w:szCs w:val="21"/>
              </w:rPr>
              <w:t>2.5</w:t>
            </w:r>
            <w:r>
              <w:rPr>
                <w:rFonts w:hint="eastAsia" w:asciiTheme="minorEastAsia" w:hAnsiTheme="minorEastAsia"/>
                <w:kern w:val="24"/>
                <w:szCs w:val="21"/>
              </w:rPr>
              <w:t>级。成果已在工厂正常运行</w:t>
            </w:r>
            <w:r>
              <w:rPr>
                <w:rFonts w:asciiTheme="minorEastAsia" w:hAnsiTheme="minorEastAsia"/>
                <w:kern w:val="24"/>
                <w:szCs w:val="21"/>
              </w:rPr>
              <w:t>3</w:t>
            </w:r>
            <w:r>
              <w:rPr>
                <w:rFonts w:hint="eastAsia" w:asciiTheme="minorEastAsia" w:hAnsiTheme="minorEastAsia"/>
                <w:kern w:val="24"/>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6、自来水生产过程控制关键技术研究与自动化、信息化示范工程建设</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批量生产阶段</w:t>
            </w:r>
          </w:p>
        </w:tc>
        <w:tc>
          <w:tcPr>
            <w:tcW w:w="7512" w:type="dxa"/>
            <w:tcBorders>
              <w:tl2br w:val="nil"/>
              <w:tr2bl w:val="nil"/>
            </w:tcBorders>
            <w:shd w:val="clear" w:color="auto" w:fill="auto"/>
            <w:vAlign w:val="center"/>
          </w:tcPr>
          <w:p>
            <w:pPr>
              <w:rPr>
                <w:rFonts w:ascii="宋体"/>
                <w:szCs w:val="21"/>
              </w:rPr>
            </w:pPr>
            <w:r>
              <w:rPr>
                <w:rFonts w:hint="eastAsia" w:ascii="宋体" w:hAnsi="宋体"/>
                <w:szCs w:val="21"/>
              </w:rPr>
              <w:t xml:space="preserve"> “自来水生产过程控制关键技术研究与自动化、信息化示范工程建设”项目通过对制水生产流程的关键性工艺流程的研究，针对整个工艺流程大时滞、大惯性和非线性的特点，在原有检测和控制设备的基础上，通过建立与实际工艺和设施相应吻合的系统数学模型，改进控制算法，开发臭氧投加，加矾和加氯系统的智能化自动控制系统，并进行大系统整合、优化，实现对自来水厂整个工艺流程的自动控制，进而提高和稳定出厂自来水的水质，并实现节能降耗。</w:t>
            </w:r>
          </w:p>
          <w:p>
            <w:pPr>
              <w:rPr>
                <w:rFonts w:ascii="宋体"/>
                <w:szCs w:val="21"/>
              </w:rPr>
            </w:pPr>
            <w:r>
              <w:rPr>
                <w:rFonts w:hint="eastAsia" w:ascii="宋体" w:hAnsi="宋体"/>
                <w:szCs w:val="21"/>
              </w:rPr>
              <w:t>该成果已经在南京城北水厂、北河口水厂、苏州相城水厂得到广泛应用。</w:t>
            </w: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7、漂浮式直驱式波浪能发电系统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Theme="minorEastAsia" w:hAnsiTheme="minorEastAsia"/>
                <w:szCs w:val="21"/>
              </w:rPr>
              <w:t>试生产阶段</w:t>
            </w:r>
          </w:p>
        </w:tc>
        <w:tc>
          <w:tcPr>
            <w:tcW w:w="7512" w:type="dxa"/>
            <w:tcBorders>
              <w:tl2br w:val="nil"/>
              <w:tr2bl w:val="nil"/>
            </w:tcBorders>
            <w:shd w:val="clear" w:color="auto" w:fill="auto"/>
            <w:vAlign w:val="center"/>
          </w:tcPr>
          <w:p>
            <w:pPr>
              <w:rPr>
                <w:rFonts w:ascii="宋体" w:hAnsi="宋体"/>
                <w:szCs w:val="21"/>
              </w:rPr>
            </w:pPr>
            <w:r>
              <w:rPr>
                <w:rFonts w:hint="eastAsia" w:ascii="宋体" w:hAnsi="宋体"/>
                <w:szCs w:val="21"/>
              </w:rPr>
              <w:t>漂浮式直驱式波浪能发电系统采用直线发电机，减少了中间传动机构、结构更加简单、系统转换效率更高。具有系统机构简单、成本低、投放区域广，适合于规模化应用。可直接应用于海洋观测仪器供电系统、军事及民用测试浮标供电系统、独岛供电系统、作业平台供电系统以及大规模并网型海洋能发电系统。课题组研发了多个功率等级的漂浮式直驱式波浪能发电机及其运行控制系统，完成了实验室测试和海洋实况测试。目前，该系统申请的相关专利达到</w:t>
            </w:r>
            <w:r>
              <w:rPr>
                <w:rFonts w:ascii="宋体" w:hAnsi="宋体"/>
                <w:szCs w:val="21"/>
              </w:rPr>
              <w:t>20</w:t>
            </w:r>
            <w:r>
              <w:rPr>
                <w:rFonts w:hint="eastAsia" w:ascii="宋体" w:hAnsi="宋体"/>
                <w:szCs w:val="21"/>
              </w:rPr>
              <w:t>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装备制造</w:t>
            </w:r>
          </w:p>
        </w:tc>
        <w:tc>
          <w:tcPr>
            <w:tcW w:w="2717"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asciiTheme="minorEastAsia" w:hAnsiTheme="minorEastAsia"/>
                <w:szCs w:val="21"/>
              </w:rPr>
              <w:t>8、</w:t>
            </w:r>
            <w:r>
              <w:rPr>
                <w:rFonts w:asciiTheme="minorEastAsia" w:hAnsiTheme="minorEastAsia"/>
                <w:szCs w:val="21"/>
              </w:rPr>
              <w:t>DC-AC</w:t>
            </w:r>
            <w:r>
              <w:rPr>
                <w:rFonts w:hint="eastAsia" w:asciiTheme="minorEastAsia" w:hAnsiTheme="minorEastAsia"/>
                <w:szCs w:val="21"/>
              </w:rPr>
              <w:t>新能源逆变器系统的建模、分析与先进控制技术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ind w:firstLine="420"/>
              <w:rPr>
                <w:rFonts w:asciiTheme="minorEastAsia" w:hAnsiTheme="minorEastAsia"/>
                <w:kern w:val="24"/>
                <w:szCs w:val="21"/>
              </w:rPr>
            </w:pPr>
            <w:r>
              <w:rPr>
                <w:rFonts w:hint="eastAsia" w:asciiTheme="minorEastAsia" w:hAnsiTheme="minorEastAsia"/>
                <w:szCs w:val="21"/>
              </w:rPr>
              <w:t>随着传统能源的日益枯竭，新能源发电设备已经引起了广泛的研究和关注。</w:t>
            </w:r>
            <w:r>
              <w:rPr>
                <w:rFonts w:asciiTheme="minorEastAsia" w:hAnsiTheme="minorEastAsia"/>
                <w:szCs w:val="21"/>
              </w:rPr>
              <w:t>DC-AC</w:t>
            </w:r>
            <w:r>
              <w:rPr>
                <w:rFonts w:hint="eastAsia" w:asciiTheme="minorEastAsia" w:hAnsiTheme="minorEastAsia"/>
                <w:szCs w:val="21"/>
              </w:rPr>
              <w:t>逆变器系统本身固有的非线性特性，已经使得传统的线性控制方案无法满足控制精度和效率等指标要求。</w:t>
            </w:r>
            <w:r>
              <w:rPr>
                <w:rFonts w:asciiTheme="minorEastAsia" w:hAnsiTheme="minorEastAsia"/>
                <w:kern w:val="24"/>
                <w:szCs w:val="21"/>
              </w:rPr>
              <w:t>DC-AC</w:t>
            </w:r>
            <w:r>
              <w:rPr>
                <w:rFonts w:hint="eastAsia" w:asciiTheme="minorEastAsia" w:hAnsiTheme="minorEastAsia"/>
                <w:kern w:val="24"/>
                <w:szCs w:val="21"/>
              </w:rPr>
              <w:t>变换器系统负载的突变、输入电压的波动、半导体器件的电磁干扰、系统参数变化引起的模型误差以及周期性干扰等各种因素都严重破坏</w:t>
            </w:r>
            <w:r>
              <w:rPr>
                <w:rFonts w:asciiTheme="minorEastAsia" w:hAnsiTheme="minorEastAsia"/>
                <w:kern w:val="24"/>
                <w:szCs w:val="21"/>
              </w:rPr>
              <w:t>DC-AC</w:t>
            </w:r>
            <w:r>
              <w:rPr>
                <w:rFonts w:hint="eastAsia" w:asciiTheme="minorEastAsia" w:hAnsiTheme="minorEastAsia"/>
                <w:kern w:val="24"/>
                <w:szCs w:val="21"/>
              </w:rPr>
              <w:t>逆变器的精度要求，进而对整个系统造成严重影响。面向</w:t>
            </w:r>
            <w:r>
              <w:rPr>
                <w:rFonts w:asciiTheme="minorEastAsia" w:hAnsiTheme="minorEastAsia"/>
                <w:kern w:val="24"/>
                <w:szCs w:val="21"/>
              </w:rPr>
              <w:t>DC-AC</w:t>
            </w:r>
            <w:r>
              <w:rPr>
                <w:rFonts w:hint="eastAsia" w:asciiTheme="minorEastAsia" w:hAnsiTheme="minorEastAsia"/>
                <w:kern w:val="24"/>
                <w:szCs w:val="21"/>
              </w:rPr>
              <w:t>逆变器系统，我们已经拥有一整套的建模、分析和设计方案。我们的成果是，利用干周期性谐波观测器技术对有负载突变、输入电压波动和模型误差引起的干扰进行实时精确估计，从而进行精确补偿，消除干扰造成的不利影响，可以与状态反馈控制和其他先进的反馈控制算法结合，实现基于谐波观测器的非线性抗干扰技术。</w:t>
            </w:r>
          </w:p>
          <w:p>
            <w:pPr>
              <w:widowControl/>
              <w:rPr>
                <w:rFonts w:cs="宋体" w:asciiTheme="minorEastAsia" w:hAnsiTheme="minorEastAsia"/>
                <w:color w:val="000000"/>
                <w:kern w:val="0"/>
                <w:szCs w:val="21"/>
              </w:rPr>
            </w:pPr>
            <w:r>
              <w:rPr>
                <w:rFonts w:hint="eastAsia" w:asciiTheme="minorEastAsia" w:hAnsiTheme="minorEastAsia"/>
                <w:szCs w:val="21"/>
              </w:rPr>
              <w:t>我们提出了从建模、分析、先进控制方法设计到具体实现参数、规律总结凝炼等一整套的</w:t>
            </w:r>
            <w:r>
              <w:rPr>
                <w:rFonts w:asciiTheme="minorEastAsia" w:hAnsiTheme="minorEastAsia"/>
                <w:szCs w:val="21"/>
              </w:rPr>
              <w:t>DC-AC</w:t>
            </w:r>
            <w:r>
              <w:rPr>
                <w:rFonts w:hint="eastAsia" w:asciiTheme="minorEastAsia" w:hAnsiTheme="minorEastAsia"/>
                <w:szCs w:val="21"/>
              </w:rPr>
              <w:t>逆变器系统先进控制解决方案，成果已经应用于新能源并网发电系统，一方面可以从算法设计上保证系统的高精度需求提升电能质量，另一方面可以实现系统对于负载突变、输入波动、电磁干扰的有效抑制，提升系统的抗干扰性能。目前成果已有多篇</w:t>
            </w:r>
            <w:r>
              <w:rPr>
                <w:rFonts w:asciiTheme="minorEastAsia" w:hAnsiTheme="minorEastAsia"/>
                <w:szCs w:val="21"/>
              </w:rPr>
              <w:t>SCI</w:t>
            </w:r>
            <w:r>
              <w:rPr>
                <w:rFonts w:hint="eastAsia" w:asciiTheme="minorEastAsia" w:hAnsiTheme="minorEastAsia"/>
                <w:szCs w:val="21"/>
              </w:rPr>
              <w:t>高水平论文发表，申请授权多项发明专利，</w:t>
            </w:r>
            <w:r>
              <w:rPr>
                <w:rFonts w:hint="eastAsia" w:asciiTheme="minorEastAsia" w:hAnsiTheme="minorEastAsia"/>
                <w:kern w:val="24"/>
                <w:szCs w:val="21"/>
              </w:rPr>
              <w:t>技术成熟，解决方案尤其适合多元干扰严重、模型偏差和精度要求高的应用场合。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jc w:val="center"/>
              <w:rPr>
                <w:rFonts w:asciiTheme="minorEastAsia" w:hAnsiTheme="minorEastAsia"/>
                <w:szCs w:val="21"/>
              </w:rPr>
            </w:pPr>
            <w:r>
              <w:rPr>
                <w:rFonts w:hint="eastAsia" w:ascii="宋体" w:hAnsi="宋体"/>
                <w:szCs w:val="21"/>
              </w:rPr>
              <w:t>9、核反应堆进出口接管锻造工艺的模拟研究</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ind w:firstLine="420"/>
              <w:rPr>
                <w:rFonts w:asciiTheme="minorEastAsia" w:hAnsiTheme="minorEastAsia"/>
                <w:szCs w:val="21"/>
              </w:rPr>
            </w:pPr>
            <w:r>
              <w:rPr>
                <w:rFonts w:hint="eastAsia" w:ascii="宋体" w:hAnsi="宋体"/>
                <w:szCs w:val="21"/>
              </w:rPr>
              <w:t>利用数值模拟对核反应堆压力容器进出口接管锻造各工序的温度场、应力应变场和金属塑形变形情况进行研究，分析工艺参数对锻造过程的影响，优化确定锻造工艺规范。通过多次模拟试验，确定了工艺先进、经济合理和质量满足要求的试制方案，产品经国家不锈钢制品质量监督检测中心检测其各项性能指标测试完全达到合同要求；首创“斜十字镦粗法”，使钢锭中心始终保持较大的三向压应力，在拔长时采用合理的砧宽比和接砧角，改善锻件应力状态并提高拔长效率。项目获得专利</w:t>
            </w:r>
            <w:r>
              <w:rPr>
                <w:rFonts w:ascii="宋体" w:hAnsi="宋体"/>
                <w:szCs w:val="21"/>
              </w:rPr>
              <w:t>2</w:t>
            </w:r>
            <w:r>
              <w:rPr>
                <w:rFonts w:hint="eastAsia" w:ascii="宋体" w:hAnsi="宋体"/>
                <w:szCs w:val="21"/>
              </w:rPr>
              <w:t>项，发表文章</w:t>
            </w:r>
            <w:r>
              <w:rPr>
                <w:rFonts w:ascii="宋体" w:hAnsi="宋体"/>
                <w:szCs w:val="21"/>
              </w:rPr>
              <w:t>2</w:t>
            </w:r>
            <w:r>
              <w:rPr>
                <w:rFonts w:hint="eastAsia" w:ascii="宋体" w:hAnsi="宋体"/>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jc w:val="center"/>
              <w:rPr>
                <w:rFonts w:ascii="宋体" w:hAnsi="宋体"/>
                <w:szCs w:val="21"/>
              </w:rPr>
            </w:pPr>
            <w:r>
              <w:rPr>
                <w:rFonts w:hint="eastAsia" w:ascii="宋体" w:hAnsi="宋体"/>
                <w:szCs w:val="21"/>
              </w:rPr>
              <w:t>10、低速电动汽车用开关磁阻电机及其电控系统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均可</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宋体"/>
                <w:szCs w:val="21"/>
              </w:rPr>
            </w:pPr>
            <w:r>
              <w:rPr>
                <w:rFonts w:hint="eastAsia" w:ascii="宋体" w:hAnsi="宋体"/>
                <w:szCs w:val="21"/>
              </w:rPr>
              <w:t>本项目所开发的一台用于轻量型纯电动汽车用三相</w:t>
            </w:r>
            <w:r>
              <w:rPr>
                <w:rFonts w:ascii="宋体" w:hAnsi="宋体"/>
                <w:szCs w:val="21"/>
              </w:rPr>
              <w:t>4kW</w:t>
            </w:r>
            <w:r>
              <w:rPr>
                <w:rFonts w:hint="eastAsia" w:ascii="宋体" w:hAnsi="宋体"/>
                <w:szCs w:val="21"/>
              </w:rPr>
              <w:t>开关磁阻电机及其控制器，在同样的外径、铁心尺寸下，开关磁阻电机的爬坡能力、转矩出力、功率密度、效率等性能均优于同规格的串激有刷电机和无刷直流电机，得到了有关整车企业的浓厚兴趣，并正在组织装车测试以期待后续能有进一步的推广应用。能够实现无刷化，调速范围宽，启动转矩大，且可以灵活调整定子结构，形成一系列功率等级不同电机规格，包括</w:t>
            </w:r>
            <w:r>
              <w:rPr>
                <w:rFonts w:ascii="宋体" w:hAnsi="宋体"/>
                <w:szCs w:val="21"/>
              </w:rPr>
              <w:t>48V</w:t>
            </w:r>
            <w:r>
              <w:rPr>
                <w:rFonts w:hint="eastAsia" w:ascii="宋体" w:hAnsi="宋体"/>
                <w:szCs w:val="21"/>
              </w:rPr>
              <w:t>、</w:t>
            </w:r>
            <w:r>
              <w:rPr>
                <w:rFonts w:ascii="宋体" w:hAnsi="宋体"/>
                <w:szCs w:val="21"/>
              </w:rPr>
              <w:t>60V</w:t>
            </w:r>
            <w:r>
              <w:rPr>
                <w:rFonts w:hint="eastAsia" w:ascii="宋体" w:hAnsi="宋体"/>
                <w:szCs w:val="21"/>
              </w:rPr>
              <w:t>、</w:t>
            </w:r>
            <w:r>
              <w:rPr>
                <w:rFonts w:ascii="宋体" w:hAnsi="宋体"/>
                <w:szCs w:val="21"/>
              </w:rPr>
              <w:t>72V</w:t>
            </w:r>
            <w:r>
              <w:rPr>
                <w:rFonts w:hint="eastAsia" w:ascii="宋体" w:hAnsi="宋体"/>
                <w:szCs w:val="21"/>
              </w:rPr>
              <w:t>等。此外，采用普通变频器驱动的双极性开关磁阻电机以完成研发。</w:t>
            </w:r>
          </w:p>
          <w:p>
            <w:pPr>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11、永磁直线电动机系统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生产阶段</w:t>
            </w:r>
          </w:p>
        </w:tc>
        <w:tc>
          <w:tcPr>
            <w:tcW w:w="7512" w:type="dxa"/>
            <w:tcBorders>
              <w:tl2br w:val="nil"/>
              <w:tr2bl w:val="nil"/>
            </w:tcBorders>
            <w:shd w:val="clear" w:color="auto" w:fill="auto"/>
            <w:vAlign w:val="center"/>
          </w:tcPr>
          <w:p>
            <w:pPr>
              <w:spacing w:line="360" w:lineRule="exact"/>
              <w:ind w:firstLine="420" w:firstLineChars="200"/>
              <w:rPr>
                <w:rFonts w:ascii="宋体"/>
                <w:szCs w:val="21"/>
              </w:rPr>
            </w:pPr>
            <w:r>
              <w:rPr>
                <w:rFonts w:hint="eastAsia" w:ascii="宋体" w:hAnsi="宋体"/>
                <w:szCs w:val="21"/>
              </w:rPr>
              <w:t>进给驱动系统是数控加工中用于将加工刀具或加工工件按照指令规定完成相应操作、实现精确定位的功能部件。与传统旋转电机</w:t>
            </w:r>
            <w:r>
              <w:rPr>
                <w:rFonts w:ascii="宋体" w:hAnsi="宋体"/>
                <w:szCs w:val="21"/>
              </w:rPr>
              <w:t>+</w:t>
            </w:r>
            <w:r>
              <w:rPr>
                <w:rFonts w:hint="eastAsia" w:ascii="宋体" w:hAnsi="宋体"/>
                <w:szCs w:val="21"/>
              </w:rPr>
              <w:t>滚珠丝杠进给驱动相比，直线电机进给驱动具有：消除了因丝杠形变造成的加工行程方面的限制，理论上其加工行程可以无限长；消除了因滚珠丝杠角速度误差而造成的速度方面的限制，可以在更高的速度下具备同样的控制性能；具有更好的加速性能；具有更好的动态性能，如更短的定位时间，更优的动态精度等。课题组已研发了多套直线电机伺服驱动系统，申请相关专利</w:t>
            </w:r>
            <w:r>
              <w:rPr>
                <w:rFonts w:ascii="宋体" w:hAnsi="宋体"/>
                <w:szCs w:val="21"/>
              </w:rPr>
              <w:t>10</w:t>
            </w:r>
            <w:r>
              <w:rPr>
                <w:rFonts w:hint="eastAsia" w:ascii="宋体" w:hAnsi="宋体"/>
                <w:szCs w:val="21"/>
              </w:rPr>
              <w:t>余项。</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20"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生物医药</w:t>
            </w: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宋体" w:hAnsi="宋体"/>
                <w:bCs/>
                <w:szCs w:val="21"/>
              </w:rPr>
              <w:t>12、可吸收植入式镁合金骨科固定器械</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kern w:val="0"/>
                <w:szCs w:val="21"/>
              </w:rPr>
            </w:pPr>
            <w:r>
              <w:rPr>
                <w:rFonts w:hint="eastAsia" w:ascii="宋体" w:hAnsi="宋体"/>
                <w:kern w:val="0"/>
                <w:szCs w:val="21"/>
              </w:rPr>
              <w:t>临床广泛使用的骨科固定器械材料以钛合金、不锈钢等惰性金属为主，而现有可降解吸收材料（如聚乳酸、羟基磷灰石等）力学性能较差，无法对承受较大载荷骨创伤部位进行有效固定，应用范围有限。但惰性金属材料存在需要二次手术取出或永久保存在体内的问题。镁合金被称为革命性的植入材料，具有力学性能优异、生物相容性好、可在生理环境中降解吸收等突出的优势。</w:t>
            </w:r>
            <w:r>
              <w:rPr>
                <w:rFonts w:hint="eastAsia"/>
                <w:szCs w:val="21"/>
              </w:rPr>
              <w:t>目前全世界医用镁合金研究者、以及美国</w:t>
            </w:r>
            <w:r>
              <w:rPr>
                <w:szCs w:val="21"/>
              </w:rPr>
              <w:t>FDA</w:t>
            </w:r>
            <w:r>
              <w:rPr>
                <w:rFonts w:hint="eastAsia"/>
                <w:szCs w:val="21"/>
              </w:rPr>
              <w:t>、中国国家药监局、欧盟药监机构等均普遍认为医用镁合金的发展已经具备进入临床和实际应用推广阶段，且部分可吸收镁合金骨科器械已进入临床试验阶段。</w:t>
            </w:r>
          </w:p>
          <w:p>
            <w:pPr>
              <w:ind w:firstLine="420" w:firstLineChars="200"/>
              <w:rPr>
                <w:rFonts w:ascii="宋体"/>
                <w:kern w:val="0"/>
                <w:szCs w:val="21"/>
              </w:rPr>
            </w:pPr>
            <w:r>
              <w:rPr>
                <w:rFonts w:hint="eastAsia" w:ascii="宋体" w:hAnsi="宋体"/>
                <w:kern w:val="0"/>
                <w:szCs w:val="21"/>
              </w:rPr>
              <w:t>本成果开发了</w:t>
            </w:r>
            <w:r>
              <w:rPr>
                <w:rFonts w:hint="eastAsia"/>
                <w:szCs w:val="21"/>
              </w:rPr>
              <w:t>系列化医用镁合金成分设计、组织与性能调控及其可控降解涂层技术。基于上述研究成果，研制的可吸收镁合金骨科器械</w:t>
            </w:r>
            <w:r>
              <w:rPr>
                <w:rFonts w:hint="eastAsia" w:ascii="宋体" w:hAnsi="宋体"/>
                <w:kern w:val="0"/>
                <w:szCs w:val="21"/>
              </w:rPr>
              <w:t>能在骨组织完成修复和再生过程后自行降解，降解产物镁离子是人体必需元素，能促进骨组织愈合，也避免了需要二次手术取出带来的痛苦和经济压力，临床推广便利，市场前景巨大，</w:t>
            </w:r>
            <w:r>
              <w:rPr>
                <w:rFonts w:hint="eastAsia"/>
                <w:szCs w:val="21"/>
              </w:rPr>
              <w:t>可适用于不同骨折内固定的各种结构形式骨钉、骨板等新产品。</w:t>
            </w:r>
          </w:p>
          <w:p>
            <w:pPr>
              <w:widowControl/>
              <w:rPr>
                <w:rFonts w:cs="宋体" w:asciiTheme="minorEastAsia" w:hAnsiTheme="minorEastAsia"/>
                <w:color w:val="000000"/>
                <w:kern w:val="0"/>
                <w:szCs w:val="21"/>
              </w:rPr>
            </w:pPr>
            <w:r>
              <w:rPr>
                <w:rFonts w:hint="eastAsia" w:ascii="宋体" w:hAnsi="宋体"/>
                <w:kern w:val="0"/>
                <w:szCs w:val="21"/>
              </w:rPr>
              <w:t>研究团队在可吸收医用镁合金材料及其复合材料与保护涂层技术开发方面已申请了</w:t>
            </w:r>
            <w:r>
              <w:rPr>
                <w:rFonts w:ascii="宋体" w:hAnsi="宋体"/>
                <w:kern w:val="0"/>
                <w:szCs w:val="21"/>
              </w:rPr>
              <w:t>15</w:t>
            </w:r>
            <w:r>
              <w:rPr>
                <w:rFonts w:hint="eastAsia" w:ascii="宋体" w:hAnsi="宋体"/>
                <w:kern w:val="0"/>
                <w:szCs w:val="21"/>
              </w:rPr>
              <w:t>项发明专利，从医用镁合金熔炼、成分设计、加工、表面可降解复合涂层、到骨科器械的结构优化设计等关键技术环节都有很好的发明专利保护。在已有的技术基础上，</w:t>
            </w:r>
            <w:r>
              <w:rPr>
                <w:rFonts w:hint="eastAsia"/>
                <w:szCs w:val="21"/>
              </w:rPr>
              <w:t>可以快速形成所需结构形式的可吸收骨科器械进行动物、临床实验。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宋体" w:hAnsi="宋体"/>
                <w:bCs/>
                <w:szCs w:val="21"/>
              </w:rPr>
              <w:t>13、消化道手术缝合用可吸收缝钉吻合器</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80" w:firstLineChars="200"/>
              <w:rPr>
                <w:rFonts w:ascii="宋体"/>
                <w:sz w:val="24"/>
              </w:rPr>
            </w:pPr>
            <w:r>
              <w:rPr>
                <w:rFonts w:hint="eastAsia" w:hAnsi="宋体"/>
                <w:sz w:val="24"/>
              </w:rPr>
              <w:t>吻合器已被广泛应用于临床各类消化道手术后缝合，用量大，但目前吻合器采用的缝钉材料为钛合金，手术后缝钉将终身存在在人体内。本研究成果“消化道手术缝合用可吸收缝钉吻合器”</w:t>
            </w:r>
            <w:r>
              <w:rPr>
                <w:rFonts w:hint="eastAsia" w:ascii="宋体" w:hAnsi="宋体"/>
                <w:kern w:val="0"/>
                <w:sz w:val="24"/>
              </w:rPr>
              <w:t>，采用的是基于自主研发的高强度镁合金微细丝材及可控降解涂层技术的具有革命性可吸收功能新型缝钉，能在体内组织完成修复和再生过程后自行降解，避免长期存在于体内带来的生物安全隐患，同时，能够有效避免术后的体内异物感及心理阴影，减轻患者痛苦，解决了患者在未来难以进行核磁共振等医疗检查的问题，避免了需要二次手术取出带来的痛苦和经济压力</w:t>
            </w:r>
            <w:r>
              <w:rPr>
                <w:rFonts w:hint="eastAsia" w:ascii="宋体" w:hAnsi="宋体"/>
                <w:sz w:val="24"/>
              </w:rPr>
              <w:t>，特别是能克服传统钛钉不降解带来的缝合部位组织增生形成疤痕组织，并造成术后腔道狭窄等问题，临床推广便利，市场前景巨大。</w:t>
            </w:r>
          </w:p>
          <w:p>
            <w:pPr>
              <w:widowControl/>
              <w:rPr>
                <w:rFonts w:cs="宋体" w:asciiTheme="minorEastAsia" w:hAnsiTheme="minorEastAsia"/>
                <w:color w:val="000000"/>
                <w:kern w:val="0"/>
                <w:szCs w:val="21"/>
              </w:rPr>
            </w:pPr>
            <w:r>
              <w:rPr>
                <w:rFonts w:hint="eastAsia" w:hAnsi="宋体"/>
                <w:kern w:val="0"/>
                <w:sz w:val="24"/>
              </w:rPr>
              <w:t>产品具有原始性创新性，已完成动物实验和生物相容性检测。研究团队在可吸收吻合器缝钉新产品与新技术开发方面已申请了</w:t>
            </w:r>
            <w:r>
              <w:rPr>
                <w:sz w:val="24"/>
              </w:rPr>
              <w:t>10</w:t>
            </w:r>
            <w:r>
              <w:rPr>
                <w:rFonts w:hint="eastAsia"/>
                <w:sz w:val="24"/>
              </w:rPr>
              <w:t>余国家发明专利，从镁合金熔炼、成分设计、可吸收镁合金丝材加工、</w:t>
            </w:r>
            <w:r>
              <w:rPr>
                <w:rFonts w:hint="eastAsia"/>
                <w:kern w:val="0"/>
                <w:sz w:val="24"/>
              </w:rPr>
              <w:t>可降解保护涂层</w:t>
            </w:r>
            <w:r>
              <w:rPr>
                <w:rFonts w:hint="eastAsia"/>
                <w:sz w:val="24"/>
              </w:rPr>
              <w:t>、到吻合器用可吸收缝钉的制作等关键技术环节都有很好的发明专利保护。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57" w:type="dxa"/>
            <w:vMerge w:val="restart"/>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14、广谱实体肿瘤靶向诊断磁共振造影剂</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7512"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磁共振成像具有高的时空分辨率、安全性及相对低的收费，敏感性也因为造影剂的使用而获得大大提高。磁性纳米氧化铁是目前众多无机纳米材料中唯一获得</w:t>
            </w:r>
            <w:r>
              <w:rPr>
                <w:rFonts w:asciiTheme="minorEastAsia" w:hAnsiTheme="minorEastAsia"/>
                <w:kern w:val="0"/>
                <w:szCs w:val="21"/>
              </w:rPr>
              <w:t>FDA</w:t>
            </w:r>
            <w:r>
              <w:rPr>
                <w:rFonts w:hint="eastAsia" w:asciiTheme="minorEastAsia" w:hAnsiTheme="minorEastAsia"/>
                <w:kern w:val="0"/>
                <w:szCs w:val="21"/>
              </w:rPr>
              <w:t>批准而应用于肝脏、淋巴被动靶向的磁共振造影剂，其有效性和安全性已经获得认可。为了更好地实现肿瘤个体化靶向影像学诊断，急需研制下一代特异性主动靶向的磁共振造影剂。肿瘤的发生发展及转移离不开新生血管的形成，其已经成为肿瘤诊疗的重要靶点，并且具有相对稳定性和广谱性，适用于多种实体肿瘤，包括原发和转移肿瘤。本课题组经过多年研发攻关，成功研制了一种广谱实体肿瘤靶向诊断磁共振造影剂（已申请专利），主要组成为超小磁性氧化铁纳米颗粒与其表面偶联的特异性环肽分子，目前已经成功实现对小鼠乳腺癌皮下移植瘤、乳腺癌淋巴转移瘤、恶性淋巴瘤皮下移植瘤、肝原位肿瘤（直径</w:t>
            </w:r>
            <w:r>
              <w:rPr>
                <w:rFonts w:asciiTheme="minorEastAsia" w:hAnsiTheme="minorEastAsia"/>
                <w:kern w:val="0"/>
                <w:szCs w:val="21"/>
              </w:rPr>
              <w:t>3mm</w:t>
            </w:r>
            <w:r>
              <w:rPr>
                <w:rFonts w:hint="eastAsia" w:asciiTheme="minorEastAsia" w:hAnsiTheme="minorEastAsia"/>
                <w:kern w:val="0"/>
                <w:szCs w:val="21"/>
              </w:rPr>
              <w:t>）等动物模型肿瘤新生血管的主动靶向磁共振成像，造影剂特异性强、能清晰描绘肿瘤边界，并且简单实用、安全有效、具有广谱性，将广泛应用于肿瘤治疗前的个体化精准诊断及治疗效果的评估，具有广阔的临床需求和市场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vMerge w:val="continue"/>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vMerge w:val="continue"/>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15、模拟酶催化增强的纳米金暗场免疫组化新方法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7512" w:type="dxa"/>
            <w:tcBorders>
              <w:tl2br w:val="nil"/>
              <w:tr2bl w:val="nil"/>
            </w:tcBorders>
            <w:shd w:val="clear" w:color="auto" w:fill="auto"/>
            <w:vAlign w:val="center"/>
          </w:tcPr>
          <w:p>
            <w:pPr>
              <w:widowControl/>
              <w:spacing w:before="63" w:after="63"/>
              <w:ind w:firstLine="420" w:firstLineChars="200"/>
              <w:rPr>
                <w:rFonts w:asciiTheme="minorEastAsia" w:hAnsiTheme="minorEastAsia"/>
                <w:kern w:val="0"/>
                <w:szCs w:val="21"/>
              </w:rPr>
            </w:pPr>
            <w:r>
              <w:rPr>
                <w:rFonts w:hint="eastAsia" w:asciiTheme="minorEastAsia" w:hAnsiTheme="minorEastAsia"/>
                <w:kern w:val="0"/>
                <w:szCs w:val="21"/>
              </w:rPr>
              <w:t>纳米金由于具有独特的光学性质和表面生物分子偶联能力以及新发现的模拟酶功能，而在生物医学检测中有重要的应用价值。将特异性抗体偶联在金纳米颗粒上构建纳米探针，可以特异地标记肿瘤细胞，一方面可以利用其模拟酶特性进行显色和显微镜读片，用来有效替代传统的天然酶标记显色技术；另一方面，可以利用纳米金暗场成像的功能，通过暗场显微镜读片，从而省略了酶底物显色的步骤和成本，同时可以突破前一种技术只能定性判读的局限性，实现基于暗场光散射图像分析的定量检测，使得定量免疫组化检测成为可能。经过多年研发与攻关，我们已经成功实现针对恶性淋巴瘤的特异标记及双模式检测（模拟酶明场显色和暗场成像）技术建立，实现针对临床乳腺癌</w:t>
            </w:r>
            <w:r>
              <w:rPr>
                <w:rFonts w:asciiTheme="minorEastAsia" w:hAnsiTheme="minorEastAsia"/>
                <w:kern w:val="0"/>
                <w:szCs w:val="21"/>
              </w:rPr>
              <w:t>Her2</w:t>
            </w:r>
            <w:r>
              <w:rPr>
                <w:rFonts w:hint="eastAsia" w:asciiTheme="minorEastAsia" w:hAnsiTheme="minorEastAsia"/>
                <w:kern w:val="0"/>
                <w:szCs w:val="21"/>
              </w:rPr>
              <w:t>检测的模拟酶增强暗场免疫组化定量判读，建立了定量判读图像分析软件，</w:t>
            </w:r>
            <w:r>
              <w:rPr>
                <w:rFonts w:hint="eastAsia" w:asciiTheme="minorEastAsia" w:hAnsiTheme="minorEastAsia"/>
                <w:bCs/>
                <w:szCs w:val="21"/>
              </w:rPr>
              <w:t>完成临床病例检测</w:t>
            </w:r>
            <w:r>
              <w:rPr>
                <w:rFonts w:asciiTheme="minorEastAsia" w:hAnsiTheme="minorEastAsia"/>
                <w:bCs/>
                <w:szCs w:val="21"/>
              </w:rPr>
              <w:t>120</w:t>
            </w:r>
            <w:r>
              <w:rPr>
                <w:rFonts w:hint="eastAsia" w:asciiTheme="minorEastAsia" w:hAnsiTheme="minorEastAsia"/>
                <w:bCs/>
                <w:szCs w:val="21"/>
              </w:rPr>
              <w:t>例，</w:t>
            </w:r>
            <w:r>
              <w:rPr>
                <w:rFonts w:hint="eastAsia" w:asciiTheme="minorEastAsia" w:hAnsiTheme="minorEastAsia"/>
                <w:szCs w:val="21"/>
              </w:rPr>
              <w:t>检测灵敏性优于</w:t>
            </w:r>
            <w:r>
              <w:rPr>
                <w:rFonts w:asciiTheme="minorEastAsia" w:hAnsiTheme="minorEastAsia"/>
                <w:szCs w:val="21"/>
              </w:rPr>
              <w:t>95%</w:t>
            </w:r>
            <w:r>
              <w:rPr>
                <w:rFonts w:hint="eastAsia" w:asciiTheme="minorEastAsia" w:hAnsiTheme="minorEastAsia"/>
                <w:szCs w:val="21"/>
              </w:rPr>
              <w:t>，特异性优于</w:t>
            </w:r>
            <w:r>
              <w:rPr>
                <w:rFonts w:asciiTheme="minorEastAsia" w:hAnsiTheme="minorEastAsia"/>
                <w:szCs w:val="21"/>
              </w:rPr>
              <w:t>90%</w:t>
            </w:r>
            <w:r>
              <w:rPr>
                <w:rFonts w:hint="eastAsia" w:asciiTheme="minorEastAsia" w:hAnsiTheme="minorEastAsia"/>
                <w:szCs w:val="21"/>
              </w:rPr>
              <w:t>，</w:t>
            </w:r>
            <w:r>
              <w:rPr>
                <w:rFonts w:hint="eastAsia" w:asciiTheme="minorEastAsia" w:hAnsiTheme="minorEastAsia"/>
                <w:bCs/>
                <w:szCs w:val="21"/>
              </w:rPr>
              <w:t>对推动临床定量免疫组化技术及实现更精准的病理诊断具有重要意义。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kern w:val="0"/>
                <w:szCs w:val="21"/>
              </w:rPr>
            </w:pPr>
            <w:r>
              <w:rPr>
                <w:rFonts w:hint="eastAsia" w:ascii="宋体" w:hAnsi="宋体"/>
                <w:szCs w:val="21"/>
              </w:rPr>
              <w:t>16、两核苷酸合成测序技术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spacing w:before="63" w:after="63"/>
              <w:ind w:firstLine="420" w:firstLineChars="200"/>
              <w:rPr>
                <w:rFonts w:asciiTheme="minorEastAsia" w:hAnsiTheme="minorEastAsia"/>
                <w:kern w:val="0"/>
                <w:szCs w:val="21"/>
              </w:rPr>
            </w:pPr>
            <w:r>
              <w:rPr>
                <w:rFonts w:hint="eastAsia" w:ascii="宋体" w:hAnsi="宋体"/>
                <w:szCs w:val="21"/>
              </w:rPr>
              <w:t>基于不同核苷酸参与合成反应产生检测分子均相同的原理，采用天然核苷酸为原料，按照二核苷酸同时合成获取测序编码信息，将待测序列进行两次循环测序，得到两组编码序列片段，最后解码、并组装出待测</w:t>
            </w:r>
            <w:r>
              <w:rPr>
                <w:rFonts w:ascii="宋体" w:hAnsi="宋体"/>
                <w:szCs w:val="21"/>
              </w:rPr>
              <w:t>DNA</w:t>
            </w:r>
            <w:r>
              <w:rPr>
                <w:rFonts w:hint="eastAsia" w:ascii="宋体" w:hAnsi="宋体"/>
                <w:szCs w:val="21"/>
              </w:rPr>
              <w:t>模板的准确碱基信息（</w:t>
            </w:r>
            <w:r>
              <w:rPr>
                <w:szCs w:val="21"/>
              </w:rPr>
              <w:t xml:space="preserve">Pu D, </w:t>
            </w:r>
            <w:r>
              <w:rPr>
                <w:i/>
                <w:szCs w:val="21"/>
              </w:rPr>
              <w:t>et al</w:t>
            </w:r>
            <w:r>
              <w:rPr>
                <w:szCs w:val="21"/>
              </w:rPr>
              <w:t>. Analytica Chimica Acta, 2014,852,274-283</w:t>
            </w:r>
            <w:r>
              <w:rPr>
                <w:rFonts w:hint="eastAsia" w:ascii="宋体" w:hAnsi="宋体"/>
                <w:szCs w:val="21"/>
              </w:rPr>
              <w:t>；肖鹏峰，等</w:t>
            </w:r>
            <w:r>
              <w:rPr>
                <w:rFonts w:ascii="宋体"/>
                <w:szCs w:val="21"/>
              </w:rPr>
              <w:t>.</w:t>
            </w:r>
            <w:r>
              <w:rPr>
                <w:rFonts w:hint="eastAsia" w:ascii="宋体" w:hAnsi="宋体"/>
                <w:szCs w:val="21"/>
              </w:rPr>
              <w:t>“</w:t>
            </w:r>
            <w:r>
              <w:rPr>
                <w:rFonts w:hint="eastAsia"/>
                <w:szCs w:val="21"/>
              </w:rPr>
              <w:t>一种两核苷酸合成</w:t>
            </w:r>
            <w:r>
              <w:rPr>
                <w:szCs w:val="21"/>
              </w:rPr>
              <w:t>DNA</w:t>
            </w:r>
            <w:r>
              <w:rPr>
                <w:rFonts w:hint="eastAsia"/>
                <w:szCs w:val="21"/>
              </w:rPr>
              <w:t>解码测序方法</w:t>
            </w:r>
            <w:r>
              <w:rPr>
                <w:szCs w:val="21"/>
              </w:rPr>
              <w:t>”</w:t>
            </w:r>
            <w:r>
              <w:rPr>
                <w:rFonts w:hint="eastAsia"/>
                <w:szCs w:val="21"/>
              </w:rPr>
              <w:t>，中国发明专利，</w:t>
            </w:r>
            <w:r>
              <w:rPr>
                <w:szCs w:val="21"/>
              </w:rPr>
              <w:t>ZL 2012 1012 8597.9</w:t>
            </w:r>
            <w:r>
              <w:rPr>
                <w:rFonts w:hint="eastAsia"/>
                <w:szCs w:val="21"/>
              </w:rPr>
              <w:t>）。该测序技术的两次循环测序可用于未知模板的高通量</w:t>
            </w:r>
            <w:r>
              <w:rPr>
                <w:szCs w:val="21"/>
              </w:rPr>
              <w:t>DNA</w:t>
            </w:r>
            <w:r>
              <w:rPr>
                <w:rFonts w:hint="eastAsia"/>
                <w:szCs w:val="21"/>
              </w:rPr>
              <w:t>测序，一次循环测序可用于低通量</w:t>
            </w:r>
            <w:r>
              <w:rPr>
                <w:szCs w:val="21"/>
              </w:rPr>
              <w:t>PCR</w:t>
            </w:r>
            <w:r>
              <w:rPr>
                <w:rFonts w:hint="eastAsia"/>
                <w:szCs w:val="21"/>
              </w:rPr>
              <w:t>产物的测序；可以获得更长的</w:t>
            </w:r>
            <w:r>
              <w:rPr>
                <w:szCs w:val="21"/>
              </w:rPr>
              <w:t>DNA</w:t>
            </w:r>
            <w:r>
              <w:rPr>
                <w:rFonts w:hint="eastAsia"/>
                <w:szCs w:val="21"/>
              </w:rPr>
              <w:t>测序长度、且提高检测灵敏度。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17、光子微球生物芯片技术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spacing w:before="63" w:after="63"/>
              <w:ind w:firstLine="420" w:firstLineChars="200"/>
              <w:rPr>
                <w:rFonts w:ascii="宋体" w:hAnsi="宋体"/>
                <w:szCs w:val="21"/>
              </w:rPr>
            </w:pPr>
            <w:r>
              <w:rPr>
                <w:rFonts w:hint="eastAsia" w:ascii="宋体" w:hAnsi="宋体"/>
                <w:color w:val="000000"/>
                <w:szCs w:val="21"/>
              </w:rPr>
              <w:t>本技术利用光子晶体微球的颜色对待测生物分子进行编码，一种颜色的微球可以检测一种分子，与微孔板或者微流控芯片相结合，通过自动化的流体控制和光学检测完成样品中多个组分的同时检测，获得</w:t>
            </w:r>
            <w:r>
              <w:rPr>
                <w:rFonts w:ascii="宋体" w:hAnsi="宋体"/>
                <w:color w:val="000000"/>
                <w:szCs w:val="21"/>
              </w:rPr>
              <w:t>2011</w:t>
            </w:r>
            <w:r>
              <w:rPr>
                <w:rFonts w:hint="eastAsia" w:ascii="宋体" w:hAnsi="宋体"/>
                <w:color w:val="000000"/>
                <w:szCs w:val="21"/>
              </w:rPr>
              <w:t>教育部自然科学一等奖和</w:t>
            </w:r>
            <w:r>
              <w:rPr>
                <w:rFonts w:ascii="宋体" w:hAnsi="宋体"/>
                <w:color w:val="000000"/>
                <w:szCs w:val="21"/>
              </w:rPr>
              <w:t>2014</w:t>
            </w:r>
            <w:r>
              <w:rPr>
                <w:rFonts w:hint="eastAsia" w:ascii="宋体" w:hAnsi="宋体"/>
                <w:color w:val="000000"/>
                <w:szCs w:val="21"/>
              </w:rPr>
              <w:t>瑞士国际发明展特别金奖，同时获专利授权</w:t>
            </w:r>
            <w:r>
              <w:rPr>
                <w:rFonts w:ascii="宋体" w:hAnsi="宋体"/>
                <w:color w:val="000000"/>
                <w:szCs w:val="21"/>
              </w:rPr>
              <w:t>10</w:t>
            </w:r>
            <w:r>
              <w:rPr>
                <w:rFonts w:hint="eastAsia" w:ascii="宋体" w:hAnsi="宋体"/>
                <w:color w:val="000000"/>
                <w:szCs w:val="21"/>
              </w:rPr>
              <w:t>余项。本技术成果包括了光子微球、微流控芯片和自动化芯片分析检测仪三部分，可以用于</w:t>
            </w:r>
            <w:r>
              <w:rPr>
                <w:rFonts w:hint="eastAsia" w:ascii="宋体" w:hAnsi="宋体"/>
                <w:szCs w:val="21"/>
              </w:rPr>
              <w:t>肿瘤、感染性疾病（</w:t>
            </w:r>
            <w:r>
              <w:rPr>
                <w:rFonts w:ascii="宋体" w:hAnsi="宋体"/>
                <w:szCs w:val="21"/>
              </w:rPr>
              <w:t>HIV</w:t>
            </w:r>
            <w:r>
              <w:rPr>
                <w:rFonts w:hint="eastAsia" w:ascii="宋体" w:hAnsi="宋体"/>
                <w:szCs w:val="21"/>
              </w:rPr>
              <w:t>、</w:t>
            </w:r>
            <w:r>
              <w:rPr>
                <w:rFonts w:ascii="宋体" w:hAnsi="宋体"/>
                <w:szCs w:val="21"/>
              </w:rPr>
              <w:t>SARS</w:t>
            </w:r>
            <w:r>
              <w:rPr>
                <w:rFonts w:hint="eastAsia" w:ascii="宋体" w:hAnsi="宋体"/>
                <w:szCs w:val="21"/>
              </w:rPr>
              <w:t>、肝炎、禽流感等）、心血管疾病（高血压、心脏病）检测等。希望合作研发和生产，投资规模在</w:t>
            </w:r>
            <w:r>
              <w:rPr>
                <w:rFonts w:ascii="宋体" w:hAnsi="宋体"/>
                <w:szCs w:val="21"/>
              </w:rPr>
              <w:t>200</w:t>
            </w:r>
            <w:r>
              <w:rPr>
                <w:rFonts w:hint="eastAsia" w:ascii="宋体" w:hAnsi="宋体"/>
                <w:szCs w:val="21"/>
              </w:rPr>
              <w:t>万人民币左右。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kern w:val="0"/>
                <w:szCs w:val="21"/>
              </w:rPr>
              <w:t>18、基于通信原理的瘫痪肢体运动功能重建的微电子肢动仪</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420" w:firstLineChars="200"/>
              <w:rPr>
                <w:szCs w:val="21"/>
              </w:rPr>
            </w:pPr>
            <w:r>
              <w:rPr>
                <w:rFonts w:hint="eastAsia"/>
                <w:szCs w:val="21"/>
              </w:rPr>
              <w:t>现有瘫痪肢体运动功能康复训练用</w:t>
            </w:r>
            <w:r>
              <w:rPr>
                <w:szCs w:val="21"/>
              </w:rPr>
              <w:t>FES</w:t>
            </w:r>
            <w:r>
              <w:rPr>
                <w:rFonts w:hint="eastAsia"/>
                <w:szCs w:val="21"/>
              </w:rPr>
              <w:t>即功能电刺激系统中使用的编码主要是人工编制的周期性电脉冲，只能实现较为粗大和机械性的动作，与正常人肢体动作的协调度相去甚远，效果有限，而且无法应用于脑瘫婴幼儿的治疗与训练。为解决这些问题，本成果拓展了课题组</w:t>
            </w:r>
            <w:r>
              <w:rPr>
                <w:szCs w:val="21"/>
              </w:rPr>
              <w:t>2005</w:t>
            </w:r>
            <w:r>
              <w:rPr>
                <w:rFonts w:hint="eastAsia"/>
                <w:szCs w:val="21"/>
              </w:rPr>
              <w:t>年提出的</w:t>
            </w:r>
            <w:r>
              <w:rPr>
                <w:szCs w:val="21"/>
              </w:rPr>
              <w:t>“</w:t>
            </w:r>
            <w:r>
              <w:rPr>
                <w:rFonts w:hint="eastAsia"/>
                <w:szCs w:val="21"/>
              </w:rPr>
              <w:t>微电子神经桥</w:t>
            </w:r>
            <w:r>
              <w:rPr>
                <w:szCs w:val="21"/>
              </w:rPr>
              <w:t>”</w:t>
            </w:r>
            <w:r>
              <w:rPr>
                <w:rFonts w:hint="eastAsia"/>
                <w:szCs w:val="21"/>
              </w:rPr>
              <w:t>概念，申报了</w:t>
            </w:r>
            <w:r>
              <w:rPr>
                <w:szCs w:val="21"/>
              </w:rPr>
              <w:t>“</w:t>
            </w:r>
            <w:r>
              <w:rPr>
                <w:rFonts w:hint="eastAsia"/>
                <w:szCs w:val="21"/>
              </w:rPr>
              <w:t>基于神经信号再生的生物感觉传递及控制系统装置</w:t>
            </w:r>
            <w:r>
              <w:rPr>
                <w:szCs w:val="21"/>
              </w:rPr>
              <w:t>”</w:t>
            </w:r>
            <w:r>
              <w:rPr>
                <w:rFonts w:hint="eastAsia"/>
                <w:szCs w:val="21"/>
              </w:rPr>
              <w:t>的发明专利。其核心思路是利用健康肢体的体表运动肌电信号在瘫痪肢体的体表对神经肌肉接头进行功能电刺激，从而达到瘫痪肢体运动功能协调重建的目的。基于该专利思想研制的双通道肢动仪样机已在东南大学附属中大医院康复科、江苏省人民医院康复医疗中心、中国康复研究中心和香港中文大学附属威尔斯亲王医院完成了</w:t>
            </w:r>
            <w:r>
              <w:rPr>
                <w:szCs w:val="21"/>
              </w:rPr>
              <w:t>30</w:t>
            </w:r>
            <w:r>
              <w:rPr>
                <w:rFonts w:hint="eastAsia"/>
                <w:szCs w:val="21"/>
              </w:rPr>
              <w:t>多名偏瘫患者健手控制患侧手腕和手指伸展的临床科学实验，康复效果显著。</w:t>
            </w:r>
          </w:p>
          <w:p>
            <w:pPr>
              <w:ind w:firstLine="420" w:firstLineChars="200"/>
              <w:rPr>
                <w:szCs w:val="21"/>
              </w:rPr>
            </w:pPr>
            <w:r>
              <w:rPr>
                <w:rFonts w:hint="eastAsia"/>
                <w:szCs w:val="21"/>
              </w:rPr>
              <w:t>相关成果已获授权发明专利</w:t>
            </w:r>
            <w:r>
              <w:rPr>
                <w:szCs w:val="21"/>
              </w:rPr>
              <w:t>4</w:t>
            </w:r>
            <w:r>
              <w:rPr>
                <w:rFonts w:hint="eastAsia"/>
                <w:szCs w:val="21"/>
              </w:rPr>
              <w:t>项（其中国际发明专利</w:t>
            </w:r>
            <w:r>
              <w:rPr>
                <w:szCs w:val="21"/>
              </w:rPr>
              <w:t>1</w:t>
            </w:r>
            <w:r>
              <w:rPr>
                <w:rFonts w:hint="eastAsia"/>
                <w:szCs w:val="21"/>
              </w:rPr>
              <w:t>项）、实用新型专利两项，已申请发明专利</w:t>
            </w:r>
            <w:r>
              <w:rPr>
                <w:szCs w:val="21"/>
              </w:rPr>
              <w:t>8</w:t>
            </w:r>
            <w:r>
              <w:rPr>
                <w:rFonts w:hint="eastAsia"/>
                <w:szCs w:val="21"/>
              </w:rPr>
              <w:t>项。获中国侨界贡献奖（创新成果）、</w:t>
            </w:r>
            <w:bookmarkStart w:id="0" w:name="OLE_LINK7"/>
            <w:r>
              <w:rPr>
                <w:rFonts w:hint="eastAsia"/>
                <w:szCs w:val="21"/>
              </w:rPr>
              <w:t>江苏</w:t>
            </w:r>
            <w:bookmarkStart w:id="1" w:name="OLE_LINK8"/>
            <w:r>
              <w:rPr>
                <w:rFonts w:hint="eastAsia"/>
                <w:szCs w:val="21"/>
              </w:rPr>
              <w:t>侨界贡献奖（创新成果）</w:t>
            </w:r>
            <w:bookmarkEnd w:id="0"/>
            <w:bookmarkEnd w:id="1"/>
            <w:r>
              <w:rPr>
                <w:rFonts w:hint="eastAsia"/>
                <w:szCs w:val="21"/>
              </w:rPr>
              <w:t>、</w:t>
            </w:r>
            <w:r>
              <w:rPr>
                <w:rFonts w:hint="eastAsia" w:ascii="宋体" w:hAnsi="宋体" w:cs="宋体"/>
                <w:kern w:val="0"/>
                <w:szCs w:val="21"/>
              </w:rPr>
              <w:t>第十三届</w:t>
            </w:r>
            <w:r>
              <w:rPr>
                <w:rFonts w:hint="eastAsia" w:ascii="宋体" w:cs="宋体"/>
                <w:kern w:val="0"/>
                <w:szCs w:val="21"/>
              </w:rPr>
              <w:t>“</w:t>
            </w:r>
            <w:r>
              <w:rPr>
                <w:rFonts w:hint="eastAsia" w:ascii="宋体" w:hAnsi="宋体" w:cs="宋体"/>
                <w:kern w:val="0"/>
                <w:szCs w:val="21"/>
              </w:rPr>
              <w:t>挑战杯</w:t>
            </w:r>
            <w:r>
              <w:rPr>
                <w:rFonts w:hint="eastAsia" w:ascii="宋体" w:cs="宋体"/>
                <w:kern w:val="0"/>
                <w:szCs w:val="21"/>
              </w:rPr>
              <w:t>”</w:t>
            </w:r>
            <w:r>
              <w:rPr>
                <w:rFonts w:hint="eastAsia" w:ascii="宋体" w:hAnsi="宋体" w:cs="宋体"/>
                <w:kern w:val="0"/>
                <w:szCs w:val="21"/>
              </w:rPr>
              <w:t>全国大学生课外学术科技作品竞赛团体二等奖、</w:t>
            </w:r>
            <w:r>
              <w:rPr>
                <w:rFonts w:hint="eastAsia"/>
                <w:szCs w:val="21"/>
              </w:rPr>
              <w:t>第八届全国研究生电子设计大赛全国总决赛“团体特等奖”、第十四届中国国际工业博览会高校展区优秀展品二等奖等多个奖项。</w:t>
            </w:r>
            <w:r>
              <w:rPr>
                <w:szCs w:val="21"/>
              </w:rPr>
              <w:t>2015</w:t>
            </w:r>
            <w:r>
              <w:rPr>
                <w:rFonts w:hint="eastAsia"/>
                <w:szCs w:val="21"/>
              </w:rPr>
              <w:t>年</w:t>
            </w:r>
            <w:r>
              <w:rPr>
                <w:szCs w:val="21"/>
              </w:rPr>
              <w:t>4</w:t>
            </w:r>
            <w:r>
              <w:rPr>
                <w:rFonts w:hint="eastAsia"/>
                <w:szCs w:val="21"/>
              </w:rPr>
              <w:t>月荣获第</w:t>
            </w:r>
            <w:r>
              <w:rPr>
                <w:szCs w:val="21"/>
              </w:rPr>
              <w:t>43</w:t>
            </w:r>
            <w:r>
              <w:rPr>
                <w:rFonts w:hint="eastAsia"/>
                <w:szCs w:val="21"/>
              </w:rPr>
              <w:t>届日内瓦国际发明展</w:t>
            </w:r>
            <w:r>
              <w:rPr>
                <w:rFonts w:hint="eastAsia" w:hAnsi="宋体"/>
                <w:kern w:val="0"/>
                <w:szCs w:val="21"/>
              </w:rPr>
              <w:t>特别金奖。</w:t>
            </w:r>
          </w:p>
          <w:p>
            <w:pPr>
              <w:rPr>
                <w:rFonts w:eastAsia="黑体"/>
                <w:kern w:val="0"/>
                <w:szCs w:val="21"/>
              </w:rPr>
            </w:pPr>
            <w:r>
              <w:rPr>
                <w:rFonts w:hint="eastAsia" w:eastAsia="黑体"/>
                <w:kern w:val="0"/>
                <w:szCs w:val="21"/>
              </w:rPr>
              <w:t>主要技术指标：</w:t>
            </w:r>
          </w:p>
          <w:tbl>
            <w:tblPr>
              <w:tblStyle w:val="6"/>
              <w:tblW w:w="7466"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41"/>
              <w:gridCol w:w="2726"/>
              <w:gridCol w:w="249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功能模块</w:t>
                  </w:r>
                </w:p>
              </w:tc>
              <w:tc>
                <w:tcPr>
                  <w:tcW w:w="2726"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特征</w:t>
                  </w:r>
                </w:p>
              </w:tc>
              <w:tc>
                <w:tcPr>
                  <w:tcW w:w="2499"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内容</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vMerge w:val="restart"/>
                  <w:tcBorders>
                    <w:top w:val="single" w:color="auto" w:sz="12" w:space="0"/>
                    <w:left w:val="nil"/>
                    <w:bottom w:val="single" w:color="auto" w:sz="4" w:space="0"/>
                    <w:right w:val="nil"/>
                  </w:tcBorders>
                  <w:vAlign w:val="center"/>
                </w:tcPr>
                <w:p>
                  <w:pPr>
                    <w:adjustRightInd w:val="0"/>
                    <w:snapToGrid w:val="0"/>
                    <w:jc w:val="center"/>
                    <w:rPr>
                      <w:szCs w:val="21"/>
                    </w:rPr>
                  </w:pPr>
                  <w:r>
                    <w:rPr>
                      <w:rFonts w:hint="eastAsia"/>
                      <w:szCs w:val="21"/>
                    </w:rPr>
                    <w:t>两路</w:t>
                  </w:r>
                  <w:r>
                    <w:rPr>
                      <w:szCs w:val="21"/>
                    </w:rPr>
                    <w:t>FES</w:t>
                  </w:r>
                  <w:r>
                    <w:rPr>
                      <w:rFonts w:hint="eastAsia"/>
                      <w:szCs w:val="21"/>
                    </w:rPr>
                    <w:t>输出通道</w:t>
                  </w:r>
                </w:p>
              </w:tc>
              <w:tc>
                <w:tcPr>
                  <w:tcW w:w="2726" w:type="dxa"/>
                  <w:tcBorders>
                    <w:top w:val="single" w:color="auto" w:sz="12" w:space="0"/>
                    <w:left w:val="nil"/>
                    <w:bottom w:val="single" w:color="auto" w:sz="4" w:space="0"/>
                    <w:right w:val="nil"/>
                  </w:tcBorders>
                  <w:vAlign w:val="center"/>
                </w:tcPr>
                <w:p>
                  <w:pPr>
                    <w:adjustRightInd w:val="0"/>
                    <w:snapToGrid w:val="0"/>
                    <w:jc w:val="center"/>
                    <w:rPr>
                      <w:szCs w:val="21"/>
                    </w:rPr>
                  </w:pPr>
                  <w:r>
                    <w:rPr>
                      <w:rFonts w:hint="eastAsia"/>
                      <w:szCs w:val="21"/>
                    </w:rPr>
                    <w:t>脉冲幅度</w:t>
                  </w:r>
                  <w:r>
                    <w:rPr>
                      <w:szCs w:val="21"/>
                    </w:rPr>
                    <w:t>(mA)</w:t>
                  </w:r>
                </w:p>
              </w:tc>
              <w:tc>
                <w:tcPr>
                  <w:tcW w:w="2499" w:type="dxa"/>
                  <w:tcBorders>
                    <w:top w:val="single" w:color="auto" w:sz="12" w:space="0"/>
                    <w:left w:val="nil"/>
                    <w:bottom w:val="single" w:color="auto" w:sz="4" w:space="0"/>
                    <w:right w:val="nil"/>
                  </w:tcBorders>
                  <w:vAlign w:val="center"/>
                </w:tcPr>
                <w:p>
                  <w:pPr>
                    <w:adjustRightInd w:val="0"/>
                    <w:snapToGrid w:val="0"/>
                    <w:ind w:firstLine="105" w:firstLineChars="50"/>
                    <w:jc w:val="center"/>
                    <w:rPr>
                      <w:szCs w:val="21"/>
                    </w:rPr>
                  </w:pPr>
                  <w:r>
                    <w:rPr>
                      <w:szCs w:val="21"/>
                    </w:rPr>
                    <w:t>30±3</w:t>
                  </w:r>
                  <w:r>
                    <w:rPr>
                      <w:rFonts w:hint="eastAsia"/>
                      <w:szCs w:val="21"/>
                    </w:rPr>
                    <w:t>连续可调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vMerge w:val="continue"/>
                  <w:tcBorders>
                    <w:top w:val="single" w:color="auto" w:sz="4" w:space="0"/>
                    <w:left w:val="nil"/>
                    <w:bottom w:val="single" w:color="auto" w:sz="4" w:space="0"/>
                    <w:right w:val="nil"/>
                  </w:tcBorders>
                  <w:vAlign w:val="center"/>
                </w:tcPr>
                <w:p>
                  <w:pPr>
                    <w:adjustRightInd w:val="0"/>
                    <w:snapToGrid w:val="0"/>
                    <w:jc w:val="center"/>
                    <w:rPr>
                      <w:szCs w:val="21"/>
                    </w:rPr>
                  </w:pP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负向脉冲宽度</w:t>
                  </w:r>
                  <w:r>
                    <w:rPr>
                      <w:szCs w:val="21"/>
                    </w:rPr>
                    <w:t>(μs)</w:t>
                  </w:r>
                </w:p>
              </w:tc>
              <w:tc>
                <w:tcPr>
                  <w:tcW w:w="2499" w:type="dxa"/>
                  <w:tcBorders>
                    <w:top w:val="single" w:color="auto" w:sz="4" w:space="0"/>
                    <w:left w:val="nil"/>
                    <w:bottom w:val="single" w:color="auto" w:sz="4" w:space="0"/>
                    <w:right w:val="nil"/>
                  </w:tcBorders>
                  <w:vAlign w:val="center"/>
                </w:tcPr>
                <w:p>
                  <w:pPr>
                    <w:adjustRightInd w:val="0"/>
                    <w:snapToGrid w:val="0"/>
                    <w:ind w:firstLine="105" w:firstLineChars="50"/>
                    <w:jc w:val="center"/>
                    <w:rPr>
                      <w:szCs w:val="21"/>
                    </w:rPr>
                  </w:pPr>
                  <w:r>
                    <w:rPr>
                      <w:szCs w:val="21"/>
                    </w:rPr>
                    <w:t>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vMerge w:val="continue"/>
                  <w:tcBorders>
                    <w:top w:val="single" w:color="auto" w:sz="4" w:space="0"/>
                    <w:left w:val="nil"/>
                    <w:bottom w:val="single" w:color="auto" w:sz="4" w:space="0"/>
                    <w:right w:val="nil"/>
                  </w:tcBorders>
                  <w:vAlign w:val="center"/>
                </w:tcPr>
                <w:p>
                  <w:pPr>
                    <w:adjustRightInd w:val="0"/>
                    <w:snapToGrid w:val="0"/>
                    <w:jc w:val="center"/>
                    <w:rPr>
                      <w:szCs w:val="21"/>
                    </w:rPr>
                  </w:pP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刺激频率</w:t>
                  </w:r>
                  <w:r>
                    <w:rPr>
                      <w:szCs w:val="21"/>
                    </w:rPr>
                    <w:t>(Hz)</w:t>
                  </w:r>
                </w:p>
              </w:tc>
              <w:tc>
                <w:tcPr>
                  <w:tcW w:w="2499" w:type="dxa"/>
                  <w:tcBorders>
                    <w:top w:val="single" w:color="auto" w:sz="4" w:space="0"/>
                    <w:left w:val="nil"/>
                    <w:bottom w:val="single" w:color="auto" w:sz="4" w:space="0"/>
                    <w:right w:val="nil"/>
                  </w:tcBorders>
                  <w:vAlign w:val="center"/>
                </w:tcPr>
                <w:p>
                  <w:pPr>
                    <w:adjustRightInd w:val="0"/>
                    <w:snapToGrid w:val="0"/>
                    <w:jc w:val="center"/>
                    <w:rPr>
                      <w:szCs w:val="21"/>
                    </w:rPr>
                  </w:pPr>
                  <w:r>
                    <w:rPr>
                      <w:szCs w:val="21"/>
                    </w:rPr>
                    <w:t>0~75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两路</w:t>
                  </w:r>
                  <w:r>
                    <w:rPr>
                      <w:szCs w:val="21"/>
                    </w:rPr>
                    <w:t>sEMG</w:t>
                  </w:r>
                  <w:r>
                    <w:rPr>
                      <w:rFonts w:hint="eastAsia"/>
                      <w:szCs w:val="21"/>
                    </w:rPr>
                    <w:t>输入通道</w:t>
                  </w: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采样率</w:t>
                  </w:r>
                </w:p>
              </w:tc>
              <w:tc>
                <w:tcPr>
                  <w:tcW w:w="2499" w:type="dxa"/>
                  <w:tcBorders>
                    <w:top w:val="single" w:color="auto" w:sz="4" w:space="0"/>
                    <w:left w:val="nil"/>
                    <w:bottom w:val="single" w:color="auto" w:sz="4" w:space="0"/>
                    <w:right w:val="nil"/>
                  </w:tcBorders>
                  <w:vAlign w:val="center"/>
                </w:tcPr>
                <w:p>
                  <w:pPr>
                    <w:adjustRightInd w:val="0"/>
                    <w:snapToGrid w:val="0"/>
                    <w:jc w:val="center"/>
                    <w:rPr>
                      <w:szCs w:val="21"/>
                    </w:rPr>
                  </w:pPr>
                  <w:r>
                    <w:rPr>
                      <w:szCs w:val="21"/>
                    </w:rPr>
                    <w:t>1kHz</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刺激脉冲</w:t>
                  </w:r>
                </w:p>
              </w:tc>
              <w:tc>
                <w:tcPr>
                  <w:tcW w:w="2726" w:type="dxa"/>
                  <w:tcBorders>
                    <w:top w:val="single" w:color="auto" w:sz="4" w:space="0"/>
                    <w:left w:val="nil"/>
                    <w:bottom w:val="single" w:color="auto" w:sz="4" w:space="0"/>
                    <w:right w:val="nil"/>
                  </w:tcBorders>
                  <w:vAlign w:val="center"/>
                </w:tcPr>
                <w:p>
                  <w:pPr>
                    <w:adjustRightInd w:val="0"/>
                    <w:snapToGrid w:val="0"/>
                    <w:jc w:val="center"/>
                    <w:rPr>
                      <w:szCs w:val="21"/>
                    </w:rPr>
                  </w:pPr>
                  <w:r>
                    <w:rPr>
                      <w:rFonts w:hint="eastAsia"/>
                      <w:szCs w:val="21"/>
                    </w:rPr>
                    <w:t>双向平衡非对称</w:t>
                  </w:r>
                </w:p>
              </w:tc>
              <w:tc>
                <w:tcPr>
                  <w:tcW w:w="2499" w:type="dxa"/>
                  <w:tcBorders>
                    <w:top w:val="single" w:color="auto" w:sz="4" w:space="0"/>
                    <w:left w:val="nil"/>
                    <w:bottom w:val="single" w:color="auto" w:sz="4" w:space="0"/>
                    <w:right w:val="nil"/>
                  </w:tcBorders>
                  <w:vAlign w:val="center"/>
                </w:tcPr>
                <w:p>
                  <w:pPr>
                    <w:adjustRightInd w:val="0"/>
                    <w:snapToGrid w:val="0"/>
                    <w:jc w:val="left"/>
                    <w:rPr>
                      <w:szCs w:val="21"/>
                    </w:rPr>
                  </w:pPr>
                  <w:r>
                    <w:rPr>
                      <w:rFonts w:hint="eastAsia"/>
                      <w:szCs w:val="21"/>
                    </w:rPr>
                    <w:t>正负脉冲宽度比例</w:t>
                  </w:r>
                  <w:r>
                    <w:rPr>
                      <w:szCs w:val="21"/>
                    </w:rPr>
                    <w:t>4:1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tcBorders>
                    <w:top w:val="single" w:color="auto" w:sz="4" w:space="0"/>
                    <w:left w:val="nil"/>
                    <w:bottom w:val="single" w:color="auto" w:sz="12" w:space="0"/>
                    <w:right w:val="nil"/>
                  </w:tcBorders>
                  <w:vAlign w:val="center"/>
                </w:tcPr>
                <w:p>
                  <w:pPr>
                    <w:adjustRightInd w:val="0"/>
                    <w:snapToGrid w:val="0"/>
                    <w:jc w:val="center"/>
                    <w:rPr>
                      <w:szCs w:val="21"/>
                    </w:rPr>
                  </w:pPr>
                  <w:r>
                    <w:rPr>
                      <w:rFonts w:hint="eastAsia"/>
                      <w:szCs w:val="21"/>
                    </w:rPr>
                    <w:t>锂电池</w:t>
                  </w:r>
                </w:p>
              </w:tc>
              <w:tc>
                <w:tcPr>
                  <w:tcW w:w="2726" w:type="dxa"/>
                  <w:tcBorders>
                    <w:top w:val="single" w:color="auto" w:sz="4" w:space="0"/>
                    <w:left w:val="nil"/>
                    <w:bottom w:val="single" w:color="auto" w:sz="12" w:space="0"/>
                    <w:right w:val="nil"/>
                  </w:tcBorders>
                  <w:vAlign w:val="center"/>
                </w:tcPr>
                <w:p>
                  <w:pPr>
                    <w:adjustRightInd w:val="0"/>
                    <w:snapToGrid w:val="0"/>
                    <w:jc w:val="center"/>
                    <w:rPr>
                      <w:szCs w:val="21"/>
                    </w:rPr>
                  </w:pPr>
                  <w:r>
                    <w:rPr>
                      <w:rFonts w:hint="eastAsia"/>
                      <w:szCs w:val="21"/>
                    </w:rPr>
                    <w:t>可充电</w:t>
                  </w:r>
                </w:p>
                <w:p>
                  <w:pPr>
                    <w:adjustRightInd w:val="0"/>
                    <w:snapToGrid w:val="0"/>
                    <w:jc w:val="center"/>
                    <w:rPr>
                      <w:szCs w:val="21"/>
                    </w:rPr>
                  </w:pPr>
                  <w:r>
                    <w:rPr>
                      <w:rFonts w:hint="eastAsia"/>
                      <w:szCs w:val="21"/>
                    </w:rPr>
                    <w:t>可连续工作</w:t>
                  </w:r>
                  <w:r>
                    <w:rPr>
                      <w:szCs w:val="21"/>
                    </w:rPr>
                    <w:t>12h</w:t>
                  </w:r>
                </w:p>
              </w:tc>
              <w:tc>
                <w:tcPr>
                  <w:tcW w:w="2499" w:type="dxa"/>
                  <w:tcBorders>
                    <w:top w:val="single" w:color="auto" w:sz="4" w:space="0"/>
                    <w:left w:val="nil"/>
                    <w:bottom w:val="single" w:color="auto" w:sz="12" w:space="0"/>
                    <w:right w:val="nil"/>
                  </w:tcBorders>
                  <w:vAlign w:val="center"/>
                </w:tcPr>
                <w:p>
                  <w:pPr>
                    <w:adjustRightInd w:val="0"/>
                    <w:snapToGrid w:val="0"/>
                    <w:jc w:val="center"/>
                    <w:rPr>
                      <w:szCs w:val="21"/>
                    </w:rPr>
                  </w:pPr>
                  <w:r>
                    <w:rPr>
                      <w:szCs w:val="21"/>
                    </w:rPr>
                    <w:t>7800mAh</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41" w:type="dxa"/>
                  <w:tcBorders>
                    <w:top w:val="single" w:color="auto" w:sz="12" w:space="0"/>
                    <w:left w:val="nil"/>
                    <w:bottom w:val="single" w:color="auto" w:sz="12" w:space="0"/>
                    <w:right w:val="nil"/>
                  </w:tcBorders>
                  <w:vAlign w:val="center"/>
                </w:tcPr>
                <w:p>
                  <w:pPr>
                    <w:adjustRightInd w:val="0"/>
                    <w:snapToGrid w:val="0"/>
                    <w:jc w:val="center"/>
                    <w:rPr>
                      <w:szCs w:val="21"/>
                    </w:rPr>
                  </w:pPr>
                  <w:r>
                    <w:rPr>
                      <w:rFonts w:hint="eastAsia"/>
                      <w:szCs w:val="21"/>
                    </w:rPr>
                    <w:t>优于现有</w:t>
                  </w:r>
                  <w:r>
                    <w:rPr>
                      <w:szCs w:val="21"/>
                    </w:rPr>
                    <w:t>FES</w:t>
                  </w:r>
                  <w:r>
                    <w:rPr>
                      <w:rFonts w:hint="eastAsia"/>
                      <w:szCs w:val="21"/>
                    </w:rPr>
                    <w:t>系统的主要特点</w:t>
                  </w:r>
                </w:p>
              </w:tc>
              <w:tc>
                <w:tcPr>
                  <w:tcW w:w="5225" w:type="dxa"/>
                  <w:gridSpan w:val="2"/>
                  <w:tcBorders>
                    <w:top w:val="single" w:color="auto" w:sz="12" w:space="0"/>
                    <w:left w:val="nil"/>
                    <w:bottom w:val="single" w:color="auto" w:sz="12" w:space="0"/>
                    <w:right w:val="nil"/>
                  </w:tcBorders>
                  <w:vAlign w:val="center"/>
                </w:tcPr>
                <w:p>
                  <w:pPr>
                    <w:pStyle w:val="9"/>
                    <w:numPr>
                      <w:ilvl w:val="0"/>
                      <w:numId w:val="1"/>
                    </w:numPr>
                    <w:adjustRightInd w:val="0"/>
                    <w:snapToGrid w:val="0"/>
                    <w:ind w:firstLineChars="0"/>
                    <w:jc w:val="left"/>
                    <w:rPr>
                      <w:rFonts w:ascii="Times New Roman" w:hAnsi="Times New Roman"/>
                      <w:szCs w:val="21"/>
                    </w:rPr>
                  </w:pPr>
                  <w:r>
                    <w:rPr>
                      <w:rFonts w:hint="eastAsia" w:ascii="Times New Roman" w:hAnsi="Times New Roman"/>
                      <w:szCs w:val="21"/>
                    </w:rPr>
                    <w:t>增强</w:t>
                  </w:r>
                  <w:r>
                    <w:rPr>
                      <w:rFonts w:ascii="Times New Roman" w:hAnsi="Times New Roman"/>
                      <w:szCs w:val="21"/>
                    </w:rPr>
                    <w:t>FES</w:t>
                  </w:r>
                  <w:r>
                    <w:rPr>
                      <w:rFonts w:hint="eastAsia" w:ascii="Times New Roman" w:hAnsi="Times New Roman"/>
                      <w:szCs w:val="21"/>
                    </w:rPr>
                    <w:t>训练过程中的自主意识参与</w:t>
                  </w:r>
                </w:p>
                <w:p>
                  <w:pPr>
                    <w:pStyle w:val="9"/>
                    <w:numPr>
                      <w:ilvl w:val="0"/>
                      <w:numId w:val="1"/>
                    </w:numPr>
                    <w:adjustRightInd w:val="0"/>
                    <w:snapToGrid w:val="0"/>
                    <w:ind w:firstLineChars="0"/>
                    <w:jc w:val="left"/>
                    <w:rPr>
                      <w:rFonts w:ascii="Times New Roman" w:hAnsi="Times New Roman"/>
                      <w:szCs w:val="21"/>
                    </w:rPr>
                  </w:pPr>
                  <w:r>
                    <w:rPr>
                      <w:rFonts w:hint="eastAsia" w:ascii="Times New Roman" w:hAnsi="Times New Roman"/>
                      <w:szCs w:val="21"/>
                    </w:rPr>
                    <w:t>更适合任务指向性康复训练</w:t>
                  </w:r>
                </w:p>
                <w:p>
                  <w:pPr>
                    <w:pStyle w:val="9"/>
                    <w:numPr>
                      <w:ilvl w:val="0"/>
                      <w:numId w:val="1"/>
                    </w:numPr>
                    <w:adjustRightInd w:val="0"/>
                    <w:snapToGrid w:val="0"/>
                    <w:ind w:firstLineChars="0"/>
                    <w:jc w:val="left"/>
                    <w:rPr>
                      <w:rFonts w:ascii="Times New Roman" w:hAnsi="Times New Roman"/>
                      <w:szCs w:val="21"/>
                    </w:rPr>
                  </w:pPr>
                  <w:r>
                    <w:rPr>
                      <w:rFonts w:hint="eastAsia" w:ascii="Times New Roman" w:hAnsi="Times New Roman"/>
                      <w:szCs w:val="21"/>
                    </w:rPr>
                    <w:t>更适合卒中软瘫期康复训练</w:t>
                  </w:r>
                </w:p>
              </w:tc>
            </w:tr>
          </w:tbl>
          <w:p>
            <w:pPr>
              <w:rPr>
                <w:rFonts w:eastAsia="黑体"/>
                <w:kern w:val="0"/>
                <w:szCs w:val="21"/>
              </w:rPr>
            </w:pPr>
            <w:r>
              <w:rPr>
                <w:rFonts w:hint="eastAsia" w:eastAsia="黑体"/>
                <w:kern w:val="0"/>
                <w:szCs w:val="21"/>
              </w:rPr>
              <w:t>应用领域：</w:t>
            </w:r>
          </w:p>
          <w:p>
            <w:pPr>
              <w:pStyle w:val="9"/>
              <w:numPr>
                <w:ilvl w:val="0"/>
                <w:numId w:val="2"/>
              </w:numPr>
              <w:ind w:firstLineChars="0"/>
              <w:rPr>
                <w:rFonts w:ascii="Times New Roman" w:hAnsi="Times New Roman"/>
                <w:szCs w:val="21"/>
              </w:rPr>
            </w:pPr>
            <w:r>
              <w:rPr>
                <w:rFonts w:hint="eastAsia" w:ascii="Times New Roman" w:hAnsi="Times New Roman"/>
                <w:szCs w:val="21"/>
              </w:rPr>
              <w:t>健康人控制下的脊髓损伤四肢瘫患者的肢体运动功能重建。</w:t>
            </w:r>
          </w:p>
          <w:p>
            <w:pPr>
              <w:pStyle w:val="9"/>
              <w:numPr>
                <w:ilvl w:val="0"/>
                <w:numId w:val="2"/>
              </w:numPr>
              <w:ind w:firstLineChars="0"/>
              <w:rPr>
                <w:rFonts w:ascii="Times New Roman" w:hAnsi="Times New Roman"/>
                <w:szCs w:val="21"/>
              </w:rPr>
            </w:pPr>
            <w:r>
              <w:rPr>
                <w:rFonts w:hint="eastAsia" w:ascii="Times New Roman" w:hAnsi="Times New Roman"/>
                <w:szCs w:val="21"/>
              </w:rPr>
              <w:t>卒中后遗症偏瘫患者健侧肢体控制患侧肢体的双侧康复训练。</w:t>
            </w:r>
          </w:p>
          <w:p>
            <w:pPr>
              <w:widowControl/>
              <w:spacing w:before="63" w:after="63"/>
              <w:ind w:firstLine="420" w:firstLineChars="200"/>
              <w:rPr>
                <w:rFonts w:ascii="宋体" w:hAnsi="宋体"/>
                <w:color w:val="000000"/>
                <w:szCs w:val="21"/>
              </w:rPr>
            </w:pPr>
            <w:r>
              <w:rPr>
                <w:rFonts w:hint="eastAsia" w:ascii="Times New Roman" w:hAnsi="Times New Roman"/>
                <w:szCs w:val="21"/>
              </w:rPr>
              <w:t>基于健康人异体控制的肢体动作训练。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kern w:val="0"/>
                <w:szCs w:val="21"/>
              </w:rPr>
            </w:pPr>
            <w:r>
              <w:rPr>
                <w:rFonts w:hint="eastAsia" w:ascii="宋体" w:hAnsi="宋体"/>
                <w:szCs w:val="21"/>
              </w:rPr>
              <w:t>19、抗肿瘤药物</w:t>
            </w:r>
            <w:r>
              <w:rPr>
                <w:rFonts w:ascii="宋体" w:hAnsi="宋体"/>
                <w:szCs w:val="21"/>
              </w:rPr>
              <w:t>7-</w:t>
            </w:r>
            <w:r>
              <w:rPr>
                <w:rFonts w:hint="eastAsia" w:ascii="宋体" w:hAnsi="宋体"/>
                <w:szCs w:val="21"/>
              </w:rPr>
              <w:t>乙基</w:t>
            </w:r>
            <w:r>
              <w:rPr>
                <w:rFonts w:ascii="宋体" w:hAnsi="宋体"/>
                <w:szCs w:val="21"/>
              </w:rPr>
              <w:t>-10-</w:t>
            </w:r>
            <w:r>
              <w:rPr>
                <w:rFonts w:hint="eastAsia" w:ascii="宋体" w:hAnsi="宋体"/>
                <w:szCs w:val="21"/>
              </w:rPr>
              <w:t>羟基喜树碱脂质体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ascii="宋体" w:hAnsi="宋体"/>
                <w:szCs w:val="21"/>
              </w:rPr>
              <w:t>7-</w:t>
            </w:r>
            <w:r>
              <w:rPr>
                <w:rFonts w:hint="eastAsia" w:ascii="宋体" w:hAnsi="宋体"/>
                <w:szCs w:val="21"/>
              </w:rPr>
              <w:t>乙基</w:t>
            </w:r>
            <w:r>
              <w:rPr>
                <w:rFonts w:ascii="宋体" w:hAnsi="宋体"/>
                <w:szCs w:val="21"/>
              </w:rPr>
              <w:t>-10-</w:t>
            </w:r>
            <w:r>
              <w:rPr>
                <w:rFonts w:hint="eastAsia" w:ascii="宋体" w:hAnsi="宋体"/>
                <w:szCs w:val="21"/>
              </w:rPr>
              <w:t>羟基喜树碱是一种来自于植物的半合成抗肿瘤药物，抗肿瘤活性是喜树碱的</w:t>
            </w:r>
            <w:r>
              <w:rPr>
                <w:rFonts w:ascii="宋体" w:hAnsi="宋体"/>
                <w:szCs w:val="21"/>
              </w:rPr>
              <w:t>100</w:t>
            </w:r>
            <w:r>
              <w:rPr>
                <w:rFonts w:hint="eastAsia" w:ascii="宋体" w:hAnsi="宋体"/>
                <w:szCs w:val="21"/>
              </w:rPr>
              <w:t>倍以上，但是水溶性差，临床应用受限。</w:t>
            </w:r>
          </w:p>
          <w:p>
            <w:pPr>
              <w:ind w:firstLine="420" w:firstLineChars="200"/>
              <w:rPr>
                <w:rFonts w:ascii="宋体"/>
                <w:szCs w:val="21"/>
              </w:rPr>
            </w:pPr>
            <w:r>
              <w:rPr>
                <w:rFonts w:hint="eastAsia" w:ascii="宋体" w:hAnsi="宋体"/>
                <w:szCs w:val="21"/>
              </w:rPr>
              <w:t>本项目研发成功一种抗肿瘤药物</w:t>
            </w:r>
            <w:r>
              <w:rPr>
                <w:rFonts w:ascii="宋体" w:hAnsi="宋体"/>
                <w:szCs w:val="21"/>
              </w:rPr>
              <w:t>7-</w:t>
            </w:r>
            <w:r>
              <w:rPr>
                <w:rFonts w:hint="eastAsia" w:ascii="宋体" w:hAnsi="宋体"/>
                <w:szCs w:val="21"/>
              </w:rPr>
              <w:t>乙基</w:t>
            </w:r>
            <w:r>
              <w:rPr>
                <w:rFonts w:ascii="宋体" w:hAnsi="宋体"/>
                <w:szCs w:val="21"/>
              </w:rPr>
              <w:t>-10-</w:t>
            </w:r>
            <w:r>
              <w:rPr>
                <w:rFonts w:hint="eastAsia" w:ascii="宋体" w:hAnsi="宋体"/>
                <w:szCs w:val="21"/>
              </w:rPr>
              <w:t>羟基喜树碱脂质体，结构新颖，水溶性良好，有明确的抗肿瘤活性，有靶向作用。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20、抗肿瘤药物紫杉醇脂质体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紫杉醇是一种来自于植物的抗肿瘤药物，抗肿瘤活性强</w:t>
            </w:r>
            <w:r>
              <w:rPr>
                <w:rFonts w:ascii="宋体"/>
                <w:szCs w:val="21"/>
              </w:rPr>
              <w:t>,</w:t>
            </w:r>
            <w:r>
              <w:rPr>
                <w:rFonts w:hint="eastAsia" w:ascii="宋体" w:hAnsi="宋体"/>
                <w:szCs w:val="21"/>
              </w:rPr>
              <w:t>但是水溶性差，目前上市的泰素使用的助溶剂蓖麻油聚氧乙烯有明显的毒副作用。脂质体力朴素中的紫杉醇易于渗漏，导致治疗效果不理想。</w:t>
            </w:r>
          </w:p>
          <w:p>
            <w:pPr>
              <w:ind w:firstLine="420" w:firstLineChars="200"/>
              <w:rPr>
                <w:rFonts w:ascii="宋体"/>
                <w:szCs w:val="21"/>
              </w:rPr>
            </w:pPr>
            <w:r>
              <w:rPr>
                <w:rFonts w:hint="eastAsia" w:ascii="宋体" w:hAnsi="宋体"/>
                <w:szCs w:val="21"/>
              </w:rPr>
              <w:t>本项目研发成功一种抗肿瘤药物紫杉醇脂质体，结构新颖，水溶性良好，有明确的抗肿瘤活性，有靶向作用。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21、抗肿瘤药物多烯紫杉醇脂质体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多烯紫杉醇是一种来自于植物的半合成抗肿瘤药物，抗肿瘤活性高于紫杉醇，临床药物称为多西他赛，但是水溶性差，临床应用受限。</w:t>
            </w:r>
          </w:p>
          <w:p>
            <w:pPr>
              <w:ind w:firstLine="420" w:firstLineChars="200"/>
              <w:rPr>
                <w:rFonts w:ascii="宋体"/>
                <w:szCs w:val="21"/>
              </w:rPr>
            </w:pPr>
            <w:r>
              <w:rPr>
                <w:rFonts w:hint="eastAsia" w:ascii="宋体" w:hAnsi="宋体"/>
                <w:szCs w:val="21"/>
              </w:rPr>
              <w:t>本项目研发成功一种抗肿瘤药物多烯紫杉醇脂质体，结构新颖，水溶性良好，有明确的抗肿瘤活性，有靶向作用。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22、鬼臼毒素抗肿瘤药物脂质体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鬼臼毒素是一种来自于植物的抗肿瘤活性药物，由于毒性大，导致临床应用受限，瑞士一公司基于该鬼臼毒素结构开发成功两种抗肿瘤药物依托泊普</w:t>
            </w:r>
            <w:r>
              <w:rPr>
                <w:rFonts w:ascii="宋体" w:hAnsi="宋体"/>
                <w:szCs w:val="21"/>
              </w:rPr>
              <w:t>(Etoposide</w:t>
            </w:r>
            <w:r>
              <w:rPr>
                <w:rFonts w:hint="eastAsia" w:ascii="宋体" w:hAnsi="宋体"/>
                <w:szCs w:val="21"/>
              </w:rPr>
              <w:t>，</w:t>
            </w:r>
            <w:r>
              <w:rPr>
                <w:rFonts w:ascii="宋体" w:hAnsi="宋体"/>
                <w:szCs w:val="21"/>
              </w:rPr>
              <w:t>VP-16)</w:t>
            </w:r>
            <w:r>
              <w:rPr>
                <w:rFonts w:hint="eastAsia" w:ascii="宋体" w:hAnsi="宋体"/>
                <w:szCs w:val="21"/>
              </w:rPr>
              <w:t>和替尼泊普</w:t>
            </w:r>
            <w:r>
              <w:rPr>
                <w:rFonts w:ascii="宋体" w:hAnsi="宋体"/>
                <w:szCs w:val="21"/>
              </w:rPr>
              <w:t>(Teniposide</w:t>
            </w:r>
            <w:r>
              <w:rPr>
                <w:rFonts w:hint="eastAsia" w:ascii="宋体" w:hAnsi="宋体"/>
                <w:szCs w:val="21"/>
              </w:rPr>
              <w:t>，</w:t>
            </w:r>
            <w:r>
              <w:rPr>
                <w:rFonts w:ascii="宋体" w:hAnsi="宋体"/>
                <w:szCs w:val="21"/>
              </w:rPr>
              <w:t>VM-26)</w:t>
            </w:r>
            <w:r>
              <w:rPr>
                <w:rFonts w:hint="eastAsia" w:ascii="宋体" w:hAnsi="宋体"/>
                <w:szCs w:val="21"/>
              </w:rPr>
              <w:t>。</w:t>
            </w:r>
          </w:p>
          <w:p>
            <w:pPr>
              <w:ind w:firstLine="420" w:firstLineChars="200"/>
              <w:rPr>
                <w:rFonts w:ascii="宋体"/>
                <w:szCs w:val="21"/>
              </w:rPr>
            </w:pPr>
            <w:r>
              <w:rPr>
                <w:rFonts w:hint="eastAsia" w:ascii="宋体" w:hAnsi="宋体"/>
                <w:szCs w:val="21"/>
              </w:rPr>
              <w:t>本项目研发成功一种鬼臼毒素抗肿瘤药物脂质体，结构新颖，水溶性良好，有明确的抗肿瘤活性，有靶向作用。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本项目已经申请发明专利。</w:t>
            </w:r>
          </w:p>
          <w:p>
            <w:pPr>
              <w:ind w:firstLine="420" w:firstLineChars="200"/>
              <w:rPr>
                <w:rFonts w:ascii="宋体"/>
                <w:szCs w:val="21"/>
              </w:rPr>
            </w:pPr>
            <w:r>
              <w:rPr>
                <w:rFonts w:hint="eastAsia" w:ascii="宋体" w:hAnsi="宋体"/>
                <w:szCs w:val="21"/>
              </w:rPr>
              <w:t>本项目产品具有重要经济价值和社会价值。</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23、抗肿瘤药物苯丁酸氮芥脂质体</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rFonts w:ascii="宋体"/>
                <w:szCs w:val="21"/>
              </w:rPr>
            </w:pPr>
            <w:r>
              <w:rPr>
                <w:rFonts w:hint="eastAsia" w:ascii="宋体" w:hAnsi="宋体"/>
                <w:szCs w:val="21"/>
              </w:rPr>
              <w:t>苯丁酸氮芥是一种抗肿瘤活性药物，临床药物称为留可然</w:t>
            </w:r>
            <w:r>
              <w:rPr>
                <w:rFonts w:ascii="宋体"/>
                <w:szCs w:val="21"/>
              </w:rPr>
              <w:t>,</w:t>
            </w:r>
            <w:r>
              <w:rPr>
                <w:rFonts w:hint="eastAsia" w:ascii="宋体" w:hAnsi="宋体"/>
                <w:szCs w:val="21"/>
              </w:rPr>
              <w:t>但是半衰期短，毒性大，导致临床应用受限。</w:t>
            </w:r>
          </w:p>
          <w:p>
            <w:pPr>
              <w:ind w:firstLine="420" w:firstLineChars="200"/>
              <w:rPr>
                <w:rFonts w:ascii="宋体"/>
                <w:szCs w:val="21"/>
              </w:rPr>
            </w:pPr>
            <w:r>
              <w:rPr>
                <w:rFonts w:hint="eastAsia" w:ascii="宋体" w:hAnsi="宋体"/>
                <w:szCs w:val="21"/>
              </w:rPr>
              <w:t>本项目研发成功一种抗肿瘤药物苯丁酸氮芥脂质体，结构新颖，稳定性好，毒性小，有明确的抗肿瘤活性，有靶向作用。</w:t>
            </w:r>
          </w:p>
          <w:p>
            <w:pPr>
              <w:ind w:firstLine="420" w:firstLineChars="200"/>
              <w:rPr>
                <w:rFonts w:ascii="宋体"/>
                <w:szCs w:val="21"/>
              </w:rPr>
            </w:pPr>
            <w:r>
              <w:rPr>
                <w:rFonts w:hint="eastAsia" w:ascii="宋体" w:hAnsi="宋体"/>
                <w:szCs w:val="21"/>
              </w:rPr>
              <w:t>本项目目前处于研发阶段，产品有望成为抗肿瘤一类新药。</w:t>
            </w:r>
          </w:p>
          <w:p>
            <w:pPr>
              <w:ind w:firstLine="420" w:firstLineChars="200"/>
              <w:rPr>
                <w:rFonts w:ascii="宋体"/>
                <w:szCs w:val="21"/>
              </w:rPr>
            </w:pPr>
            <w:r>
              <w:rPr>
                <w:rFonts w:hint="eastAsia" w:ascii="宋体" w:hAnsi="宋体"/>
                <w:szCs w:val="21"/>
              </w:rPr>
              <w:t>本项目已经获得发明专利授权。</w:t>
            </w:r>
          </w:p>
          <w:p>
            <w:pPr>
              <w:ind w:firstLine="420" w:firstLineChars="200"/>
              <w:rPr>
                <w:rFonts w:ascii="宋体"/>
                <w:szCs w:val="21"/>
              </w:rPr>
            </w:pPr>
            <w:r>
              <w:rPr>
                <w:rFonts w:hint="eastAsia" w:ascii="宋体" w:hAnsi="宋体"/>
                <w:szCs w:val="21"/>
              </w:rPr>
              <w:t>希望与企业合作，进行新药开发。</w:t>
            </w:r>
          </w:p>
          <w:p>
            <w:pPr>
              <w:ind w:firstLine="420" w:firstLineChars="200"/>
              <w:rPr>
                <w:rFonts w:ascii="宋体"/>
                <w:szCs w:val="21"/>
              </w:rPr>
            </w:pPr>
            <w:r>
              <w:rPr>
                <w:rFonts w:hint="eastAsia" w:ascii="宋体" w:hAnsi="宋体"/>
                <w:szCs w:val="21"/>
              </w:rPr>
              <w:t>本项目产品具有重要经济价值和社会价值。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vAlign w:val="center"/>
          </w:tcPr>
          <w:p>
            <w:pPr>
              <w:widowControl/>
              <w:jc w:val="left"/>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24、隐形眼镜</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研制开发</w:t>
            </w:r>
          </w:p>
        </w:tc>
        <w:tc>
          <w:tcPr>
            <w:tcW w:w="7512" w:type="dxa"/>
            <w:tcBorders>
              <w:tl2br w:val="nil"/>
              <w:tr2bl w:val="nil"/>
            </w:tcBorders>
            <w:shd w:val="clear" w:color="auto" w:fill="auto"/>
            <w:vAlign w:val="center"/>
          </w:tcPr>
          <w:p>
            <w:pPr>
              <w:pStyle w:val="4"/>
              <w:shd w:val="clear" w:color="auto" w:fill="FFFFFF"/>
              <w:spacing w:before="240" w:after="93"/>
              <w:ind w:firstLine="420" w:firstLineChars="200"/>
              <w:jc w:val="both"/>
              <w:rPr>
                <w:sz w:val="21"/>
                <w:szCs w:val="21"/>
              </w:rPr>
            </w:pPr>
            <w:r>
              <w:rPr>
                <w:rFonts w:hint="eastAsia"/>
                <w:sz w:val="21"/>
                <w:szCs w:val="21"/>
              </w:rPr>
              <w:t>隐形眼镜是矫正近视等眼疾的三类医疗器械。中国近视发生率为</w:t>
            </w:r>
            <w:r>
              <w:rPr>
                <w:sz w:val="21"/>
                <w:szCs w:val="21"/>
              </w:rPr>
              <w:t>33%</w:t>
            </w:r>
            <w:r>
              <w:rPr>
                <w:rFonts w:hint="eastAsia"/>
                <w:sz w:val="21"/>
                <w:szCs w:val="21"/>
              </w:rPr>
              <w:t>，人数达</w:t>
            </w:r>
            <w:r>
              <w:rPr>
                <w:sz w:val="21"/>
                <w:szCs w:val="21"/>
              </w:rPr>
              <w:t>4</w:t>
            </w:r>
            <w:r>
              <w:rPr>
                <w:rFonts w:hint="eastAsia"/>
                <w:sz w:val="21"/>
                <w:szCs w:val="21"/>
              </w:rPr>
              <w:t>亿多。全国学生体质健康调研最新数据表明</w:t>
            </w:r>
            <w:r>
              <w:rPr>
                <w:sz w:val="21"/>
                <w:szCs w:val="21"/>
              </w:rPr>
              <w:t>,</w:t>
            </w:r>
            <w:r>
              <w:rPr>
                <w:rFonts w:hint="eastAsia"/>
                <w:sz w:val="21"/>
                <w:szCs w:val="21"/>
              </w:rPr>
              <w:t>小学生近视眼发生率为</w:t>
            </w:r>
            <w:r>
              <w:rPr>
                <w:sz w:val="21"/>
                <w:szCs w:val="21"/>
              </w:rPr>
              <w:t>22.78%,</w:t>
            </w:r>
            <w:r>
              <w:rPr>
                <w:rFonts w:hint="eastAsia"/>
                <w:sz w:val="21"/>
                <w:szCs w:val="21"/>
              </w:rPr>
              <w:t>中学生为</w:t>
            </w:r>
            <w:r>
              <w:rPr>
                <w:sz w:val="21"/>
                <w:szCs w:val="21"/>
              </w:rPr>
              <w:t>55.22%,</w:t>
            </w:r>
            <w:r>
              <w:rPr>
                <w:rFonts w:hint="eastAsia"/>
                <w:sz w:val="21"/>
                <w:szCs w:val="21"/>
              </w:rPr>
              <w:t>高中生为</w:t>
            </w:r>
            <w:r>
              <w:rPr>
                <w:sz w:val="21"/>
                <w:szCs w:val="21"/>
              </w:rPr>
              <w:t>70.34%</w:t>
            </w:r>
            <w:r>
              <w:rPr>
                <w:rFonts w:hint="eastAsia"/>
                <w:sz w:val="21"/>
                <w:szCs w:val="21"/>
              </w:rPr>
              <w:t>，大学生约</w:t>
            </w:r>
            <w:r>
              <w:rPr>
                <w:sz w:val="21"/>
                <w:szCs w:val="21"/>
              </w:rPr>
              <w:t>80</w:t>
            </w:r>
            <w:r>
              <w:rPr>
                <w:rFonts w:hint="eastAsia"/>
                <w:sz w:val="21"/>
                <w:szCs w:val="21"/>
              </w:rPr>
              <w:t>％。隐形眼镜在中国有广阔的市场前景</w:t>
            </w:r>
          </w:p>
          <w:p>
            <w:pPr>
              <w:pStyle w:val="4"/>
              <w:shd w:val="clear" w:color="auto" w:fill="FFFFFF"/>
              <w:spacing w:before="240" w:after="93"/>
              <w:ind w:firstLine="420" w:firstLineChars="200"/>
              <w:jc w:val="both"/>
              <w:rPr>
                <w:sz w:val="21"/>
                <w:szCs w:val="21"/>
              </w:rPr>
            </w:pPr>
            <w:r>
              <w:rPr>
                <w:rFonts w:hint="eastAsia"/>
                <w:sz w:val="21"/>
                <w:szCs w:val="21"/>
              </w:rPr>
              <w:t>本项目针对市场上隐形眼镜易于引起泪液中蛋白沉积，易于脱水，导致佩戴者眼睛干涩、模糊等问题，开发成功一类抗粘附、保水的隐形眼镜。本项目隐形眼镜结合了具有两性离子特征的氨基酸，结合了氟硅高透氧材料，有望开发成为全新的一系列隐形眼镜。</w:t>
            </w:r>
          </w:p>
          <w:p>
            <w:pPr>
              <w:pStyle w:val="4"/>
              <w:shd w:val="clear" w:color="auto" w:fill="FFFFFF"/>
              <w:spacing w:before="240" w:after="93"/>
              <w:ind w:firstLine="420" w:firstLineChars="200"/>
              <w:jc w:val="both"/>
              <w:rPr>
                <w:sz w:val="21"/>
                <w:szCs w:val="21"/>
              </w:rPr>
            </w:pPr>
            <w:r>
              <w:rPr>
                <w:rFonts w:hint="eastAsia"/>
                <w:sz w:val="21"/>
                <w:szCs w:val="21"/>
              </w:rPr>
              <w:t>本项目已经获得发明专利授权，并获得国家自然科学基金资助。</w:t>
            </w:r>
          </w:p>
          <w:p>
            <w:pPr>
              <w:pStyle w:val="4"/>
              <w:shd w:val="clear" w:color="auto" w:fill="FFFFFF"/>
              <w:spacing w:before="240" w:after="93"/>
              <w:ind w:firstLine="420" w:firstLineChars="200"/>
              <w:jc w:val="both"/>
              <w:rPr>
                <w:sz w:val="21"/>
                <w:szCs w:val="21"/>
              </w:rPr>
            </w:pPr>
            <w:r>
              <w:rPr>
                <w:rFonts w:hint="eastAsia"/>
                <w:sz w:val="21"/>
                <w:szCs w:val="21"/>
              </w:rPr>
              <w:t>希望通过技术授权或转让方式与企业合作，进行新型隐形眼镜的开发。</w:t>
            </w:r>
          </w:p>
          <w:p>
            <w:pPr>
              <w:ind w:firstLine="420" w:firstLineChars="200"/>
              <w:rPr>
                <w:rFonts w:ascii="宋体" w:hAnsi="宋体"/>
                <w:szCs w:val="21"/>
              </w:rPr>
            </w:pPr>
            <w:r>
              <w:rPr>
                <w:rFonts w:hint="eastAsia" w:ascii="宋体" w:hAnsi="宋体"/>
                <w:szCs w:val="21"/>
              </w:rPr>
              <w:t>本项目产品具有重要经济价值和社会价值。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457" w:type="dxa"/>
            <w:tcBorders>
              <w:tl2br w:val="nil"/>
              <w:tr2bl w:val="nil"/>
            </w:tcBorders>
            <w:shd w:val="clear" w:color="auto" w:fill="auto"/>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20" w:type="dxa"/>
            <w:tcBorders>
              <w:tl2br w:val="nil"/>
              <w:tr2bl w:val="nil"/>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土木交通</w:t>
            </w:r>
          </w:p>
        </w:tc>
        <w:tc>
          <w:tcPr>
            <w:tcW w:w="2717"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宋体" w:hAnsi="宋体"/>
                <w:szCs w:val="21"/>
              </w:rPr>
              <w:t>25、高性能结构胶</w:t>
            </w:r>
            <w:r>
              <w:rPr>
                <w:rFonts w:ascii="宋体"/>
                <w:szCs w:val="21"/>
              </w:rPr>
              <w:t>--</w:t>
            </w:r>
            <w:r>
              <w:rPr>
                <w:rFonts w:hint="eastAsia" w:ascii="宋体" w:hAnsi="宋体"/>
                <w:szCs w:val="21"/>
              </w:rPr>
              <w:t>室温固化聚氨酯改性环氧结构胶</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rPr>
                <w:szCs w:val="21"/>
              </w:rPr>
            </w:pPr>
            <w:r>
              <w:rPr>
                <w:rFonts w:hint="eastAsia"/>
                <w:szCs w:val="21"/>
              </w:rPr>
              <w:t>结构胶是指在一定温度范围内，粘接受力结构件，具有较高学强度的一类胶粘剂。室温固化结构剂具有使用工艺简单、设备投资小、适用于施工现场。</w:t>
            </w:r>
          </w:p>
          <w:p>
            <w:pPr>
              <w:rPr>
                <w:szCs w:val="21"/>
              </w:rPr>
            </w:pPr>
            <w:r>
              <w:rPr>
                <w:rFonts w:hint="eastAsia"/>
                <w:szCs w:val="21"/>
              </w:rPr>
              <w:t>优点：硬度大、弹性高、韧性好、耐水耐腐蚀、使用温度范围宽等；</w:t>
            </w:r>
          </w:p>
          <w:p>
            <w:pPr>
              <w:widowControl/>
              <w:rPr>
                <w:rFonts w:cs="宋体" w:asciiTheme="minorEastAsia" w:hAnsiTheme="minorEastAsia"/>
                <w:color w:val="000000"/>
                <w:kern w:val="0"/>
                <w:szCs w:val="21"/>
              </w:rPr>
            </w:pPr>
            <w:r>
              <w:rPr>
                <w:rFonts w:hint="eastAsia"/>
                <w:szCs w:val="21"/>
              </w:rPr>
              <w:t>应用领域：各种金属、塑料、橡胶、混凝土、木材、板材及特殊金属的粘接，在建筑、汽车、军工等领域也有很好的应用前景。授权中国发明专利</w:t>
            </w:r>
            <w:r>
              <w:rPr>
                <w:szCs w:val="21"/>
              </w:rPr>
              <w:t>ZL 200510040418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电子信息</w:t>
            </w: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26、道路交通护栏的智能化</w:t>
            </w:r>
          </w:p>
          <w:p>
            <w:pPr>
              <w:widowControl/>
              <w:jc w:val="left"/>
              <w:rPr>
                <w:rFonts w:cs="宋体" w:asciiTheme="minorEastAsia" w:hAnsiTheme="minorEastAsia"/>
                <w:color w:val="000000"/>
                <w:kern w:val="0"/>
                <w:szCs w:val="21"/>
              </w:rPr>
            </w:pPr>
            <w:r>
              <w:rPr>
                <w:rFonts w:hint="eastAsia" w:asciiTheme="minorEastAsia" w:hAnsiTheme="minorEastAsia"/>
                <w:szCs w:val="21"/>
              </w:rPr>
              <w:t>与物联网组网</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widowControl/>
              <w:rPr>
                <w:rFonts w:cs="宋体" w:asciiTheme="minorEastAsia" w:hAnsiTheme="minorEastAsia"/>
                <w:color w:val="000000"/>
                <w:kern w:val="0"/>
                <w:szCs w:val="21"/>
              </w:rPr>
            </w:pPr>
            <w:r>
              <w:rPr>
                <w:rFonts w:hint="eastAsia" w:asciiTheme="minorEastAsia" w:hAnsiTheme="minorEastAsia"/>
                <w:kern w:val="24"/>
                <w:szCs w:val="21"/>
              </w:rPr>
              <w:t>随着物联网技术与智能交通技术的发展，用于高速公路或城市内普通公路的道路护栏，作为“智慧城市”的一个重要组成部分，正受到越来越多的关注与重视。通过在护栏上安装低功耗的传感器芯片以及无线信号收发芯片，并配合相关服务器软件，护栏具备了一定的外部事件感知能力、处理能力、无线通信与组网能力，从而实现护栏的智能化。护栏的智能化对提高道路交通安全、道路通行效率、以及护栏周围的气象条件感知，都有十分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cs="宋体" w:asciiTheme="minorEastAsia" w:hAnsiTheme="minorEastAsia"/>
                <w:kern w:val="0"/>
                <w:szCs w:val="21"/>
              </w:rPr>
              <w:t>27、</w:t>
            </w:r>
            <w:r>
              <w:rPr>
                <w:rFonts w:cs="宋体" w:asciiTheme="minorEastAsia" w:hAnsiTheme="minorEastAsia"/>
                <w:kern w:val="0"/>
                <w:szCs w:val="21"/>
              </w:rPr>
              <w:t>LXA-WSN-A1</w:t>
            </w:r>
            <w:r>
              <w:rPr>
                <w:rFonts w:hint="eastAsia" w:cs="宋体" w:asciiTheme="minorEastAsia" w:hAnsiTheme="minorEastAsia"/>
                <w:kern w:val="0"/>
                <w:szCs w:val="21"/>
              </w:rPr>
              <w:t>物联网实验平台</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spacing w:line="320" w:lineRule="exact"/>
              <w:ind w:firstLine="420"/>
              <w:jc w:val="left"/>
              <w:rPr>
                <w:rFonts w:cs="黑体" w:asciiTheme="minorEastAsia" w:hAnsiTheme="minorEastAsia"/>
                <w:szCs w:val="21"/>
              </w:rPr>
            </w:pPr>
            <w:r>
              <w:rPr>
                <w:rFonts w:cs="黑体" w:asciiTheme="minorEastAsia" w:hAnsiTheme="minorEastAsia"/>
                <w:szCs w:val="21"/>
              </w:rPr>
              <w:t>LXA-WSN-A1</w:t>
            </w:r>
            <w:r>
              <w:rPr>
                <w:rFonts w:hint="eastAsia" w:cs="黑体" w:asciiTheme="minorEastAsia" w:hAnsiTheme="minorEastAsia"/>
                <w:szCs w:val="21"/>
              </w:rPr>
              <w:t>物联网实验平台是一款功能强大的物联网和无线传感器网络教学和研发用实验设备，提供了丰富的硬件资源和软件开发平台。实验平台还提供了基于</w:t>
            </w:r>
            <w:r>
              <w:rPr>
                <w:rFonts w:cs="黑体" w:asciiTheme="minorEastAsia" w:hAnsiTheme="minorEastAsia"/>
                <w:szCs w:val="21"/>
              </w:rPr>
              <w:t>C</w:t>
            </w:r>
            <w:r>
              <w:rPr>
                <w:rFonts w:hint="eastAsia" w:cs="黑体" w:asciiTheme="minorEastAsia" w:hAnsiTheme="minorEastAsia"/>
                <w:szCs w:val="21"/>
              </w:rPr>
              <w:t>语言的硬件开发环境、</w:t>
            </w:r>
            <w:r>
              <w:rPr>
                <w:rFonts w:cs="黑体" w:asciiTheme="minorEastAsia" w:hAnsiTheme="minorEastAsia"/>
                <w:szCs w:val="21"/>
              </w:rPr>
              <w:t>Linux</w:t>
            </w:r>
            <w:r>
              <w:rPr>
                <w:rFonts w:hint="eastAsia" w:cs="黑体" w:asciiTheme="minorEastAsia" w:hAnsiTheme="minorEastAsia"/>
                <w:szCs w:val="21"/>
              </w:rPr>
              <w:t>、</w:t>
            </w:r>
            <w:r>
              <w:rPr>
                <w:rFonts w:cs="黑体" w:asciiTheme="minorEastAsia" w:hAnsiTheme="minorEastAsia"/>
                <w:szCs w:val="21"/>
              </w:rPr>
              <w:t>WinCE</w:t>
            </w:r>
            <w:r>
              <w:rPr>
                <w:rFonts w:hint="eastAsia" w:cs="黑体" w:asciiTheme="minorEastAsia" w:hAnsiTheme="minorEastAsia"/>
                <w:szCs w:val="21"/>
              </w:rPr>
              <w:t>和</w:t>
            </w:r>
            <w:r>
              <w:rPr>
                <w:rFonts w:cs="黑体" w:asciiTheme="minorEastAsia" w:hAnsiTheme="minorEastAsia"/>
                <w:szCs w:val="21"/>
              </w:rPr>
              <w:t>Android 4.X</w:t>
            </w:r>
            <w:r>
              <w:rPr>
                <w:rFonts w:hint="eastAsia" w:cs="黑体" w:asciiTheme="minorEastAsia" w:hAnsiTheme="minorEastAsia"/>
                <w:szCs w:val="21"/>
              </w:rPr>
              <w:t>嵌入式系统开发平台等。完善的硬件技术、软件资源和技术支持可以满足先进的物联网相关课程教学、科研和开发用途。</w:t>
            </w:r>
          </w:p>
          <w:p>
            <w:pPr>
              <w:spacing w:line="320" w:lineRule="exact"/>
              <w:ind w:firstLine="420"/>
              <w:jc w:val="left"/>
              <w:rPr>
                <w:rFonts w:cs="黑体" w:asciiTheme="minorEastAsia" w:hAnsiTheme="minorEastAsia"/>
                <w:szCs w:val="21"/>
              </w:rPr>
            </w:pPr>
            <w:r>
              <w:rPr>
                <w:rFonts w:cs="黑体" w:asciiTheme="minorEastAsia" w:hAnsiTheme="minorEastAsia"/>
                <w:szCs w:val="21"/>
              </w:rPr>
              <w:t>LXA-WSN-A1</w:t>
            </w:r>
            <w:r>
              <w:rPr>
                <w:rFonts w:hint="eastAsia" w:cs="黑体" w:asciiTheme="minorEastAsia" w:hAnsiTheme="minorEastAsia"/>
                <w:szCs w:val="21"/>
              </w:rPr>
              <w:t>物联网实验平台提供丰富的可选标准模块，包括：</w:t>
            </w:r>
            <w:r>
              <w:rPr>
                <w:rFonts w:cs="黑体" w:asciiTheme="minorEastAsia" w:hAnsiTheme="minorEastAsia"/>
                <w:szCs w:val="21"/>
              </w:rPr>
              <w:t>RFID</w:t>
            </w:r>
            <w:r>
              <w:rPr>
                <w:rFonts w:hint="eastAsia" w:cs="黑体" w:asciiTheme="minorEastAsia" w:hAnsiTheme="minorEastAsia"/>
                <w:szCs w:val="21"/>
              </w:rPr>
              <w:t>模块板、协议分析仪、摄像头、蓝牙</w:t>
            </w:r>
            <w:r>
              <w:rPr>
                <w:rFonts w:cs="黑体" w:asciiTheme="minorEastAsia" w:hAnsiTheme="minorEastAsia"/>
                <w:szCs w:val="21"/>
              </w:rPr>
              <w:t>4.0</w:t>
            </w:r>
            <w:r>
              <w:rPr>
                <w:rFonts w:hint="eastAsia" w:cs="黑体" w:asciiTheme="minorEastAsia" w:hAnsiTheme="minorEastAsia"/>
                <w:szCs w:val="21"/>
              </w:rPr>
              <w:t>、乙醇气体传感器、出口继电器等各类模块，满足不同层次实验和科研要求。</w:t>
            </w:r>
          </w:p>
          <w:p>
            <w:pPr>
              <w:widowControl/>
              <w:rPr>
                <w:rFonts w:asciiTheme="minorEastAsia" w:hAnsiTheme="minorEastAsia"/>
                <w:kern w:val="24"/>
                <w:szCs w:val="21"/>
              </w:rPr>
            </w:pPr>
            <w:r>
              <w:rPr>
                <w:rFonts w:cs="黑体" w:asciiTheme="minorEastAsia" w:hAnsiTheme="minorEastAsia"/>
                <w:szCs w:val="21"/>
              </w:rPr>
              <w:t>LXA-WSN-A1</w:t>
            </w:r>
            <w:r>
              <w:rPr>
                <w:rFonts w:hint="eastAsia" w:cs="黑体" w:asciiTheme="minorEastAsia" w:hAnsiTheme="minorEastAsia"/>
                <w:szCs w:val="21"/>
              </w:rPr>
              <w:t>物联网实验平台共设计有基础实验、基本网络实验、</w:t>
            </w:r>
            <w:r>
              <w:rPr>
                <w:rFonts w:cs="黑体" w:asciiTheme="minorEastAsia" w:hAnsiTheme="minorEastAsia"/>
                <w:szCs w:val="21"/>
              </w:rPr>
              <w:t>Android</w:t>
            </w:r>
            <w:r>
              <w:rPr>
                <w:rFonts w:hint="eastAsia" w:cs="黑体" w:asciiTheme="minorEastAsia" w:hAnsiTheme="minorEastAsia"/>
                <w:szCs w:val="21"/>
              </w:rPr>
              <w:t>等操作系统实验和综合性实验，实验项目层层递进，环环相扣，深入浅出，妙趣横生，让用户在学习中娱乐，在娱乐中学习。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28、大数据分析技术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spacing w:line="320" w:lineRule="exact"/>
              <w:ind w:firstLine="420"/>
              <w:jc w:val="left"/>
              <w:rPr>
                <w:rFonts w:cs="黑体" w:asciiTheme="minorEastAsia" w:hAnsiTheme="minorEastAsia"/>
                <w:szCs w:val="21"/>
              </w:rPr>
            </w:pPr>
            <w:r>
              <w:rPr>
                <w:rFonts w:hint="eastAsia" w:asciiTheme="minorEastAsia" w:hAnsiTheme="minorEastAsia"/>
                <w:szCs w:val="21"/>
              </w:rPr>
              <w:t>提供大数据分析技术服务、</w:t>
            </w:r>
            <w:r>
              <w:rPr>
                <w:rFonts w:asciiTheme="minorEastAsia" w:hAnsiTheme="minorEastAsia"/>
                <w:kern w:val="24"/>
                <w:szCs w:val="21"/>
              </w:rPr>
              <w:t>Spark</w:t>
            </w:r>
            <w:r>
              <w:rPr>
                <w:rFonts w:hint="eastAsia" w:asciiTheme="minorEastAsia" w:hAnsiTheme="minorEastAsia"/>
                <w:szCs w:val="21"/>
              </w:rPr>
              <w:t>计算技术支持、大数据可视化引擎服务技术支持。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cs="宋体" w:asciiTheme="minorEastAsia" w:hAnsiTheme="minorEastAsia"/>
                <w:kern w:val="0"/>
                <w:szCs w:val="21"/>
              </w:rPr>
            </w:pPr>
            <w:r>
              <w:rPr>
                <w:rFonts w:hint="eastAsia" w:asciiTheme="minorEastAsia" w:hAnsiTheme="minorEastAsia"/>
                <w:szCs w:val="21"/>
              </w:rPr>
              <w:t>29、基于</w:t>
            </w:r>
            <w:r>
              <w:rPr>
                <w:rFonts w:asciiTheme="minorEastAsia" w:hAnsiTheme="minorEastAsia"/>
                <w:szCs w:val="21"/>
              </w:rPr>
              <w:t>TD-LTE</w:t>
            </w:r>
            <w:r>
              <w:rPr>
                <w:rFonts w:hint="eastAsia" w:asciiTheme="minorEastAsia" w:hAnsiTheme="minorEastAsia"/>
                <w:szCs w:val="21"/>
              </w:rPr>
              <w:t>的新一代</w:t>
            </w:r>
            <w:r>
              <w:rPr>
                <w:rFonts w:asciiTheme="minorEastAsia" w:hAnsiTheme="minorEastAsia"/>
                <w:szCs w:val="21"/>
              </w:rPr>
              <w:t>4G</w:t>
            </w:r>
            <w:r>
              <w:rPr>
                <w:rFonts w:hint="eastAsia" w:asciiTheme="minorEastAsia" w:hAnsiTheme="minorEastAsia"/>
                <w:szCs w:val="21"/>
              </w:rPr>
              <w:t>专网无线技术解决方案</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spacing w:line="220" w:lineRule="atLeast"/>
              <w:ind w:firstLine="420" w:firstLineChars="200"/>
              <w:rPr>
                <w:rFonts w:asciiTheme="minorEastAsia" w:hAnsiTheme="minorEastAsia"/>
                <w:bCs/>
                <w:szCs w:val="21"/>
              </w:rPr>
            </w:pPr>
            <w:r>
              <w:rPr>
                <w:rFonts w:hint="eastAsia" w:asciiTheme="minorEastAsia" w:hAnsiTheme="minorEastAsia"/>
                <w:szCs w:val="21"/>
              </w:rPr>
              <w:t>提供基于</w:t>
            </w:r>
            <w:r>
              <w:rPr>
                <w:rFonts w:asciiTheme="minorEastAsia" w:hAnsiTheme="minorEastAsia"/>
                <w:szCs w:val="21"/>
              </w:rPr>
              <w:t>TD-LTE</w:t>
            </w:r>
            <w:r>
              <w:rPr>
                <w:rFonts w:hint="eastAsia" w:asciiTheme="minorEastAsia" w:hAnsiTheme="minorEastAsia"/>
                <w:szCs w:val="21"/>
              </w:rPr>
              <w:t>的新一代</w:t>
            </w:r>
            <w:r>
              <w:rPr>
                <w:rFonts w:asciiTheme="minorEastAsia" w:hAnsiTheme="minorEastAsia"/>
                <w:szCs w:val="21"/>
              </w:rPr>
              <w:t>4G</w:t>
            </w:r>
            <w:r>
              <w:rPr>
                <w:rFonts w:hint="eastAsia" w:asciiTheme="minorEastAsia" w:hAnsiTheme="minorEastAsia"/>
                <w:szCs w:val="21"/>
              </w:rPr>
              <w:t>专网无线技术解决方案。施用频段为</w:t>
            </w:r>
            <w:r>
              <w:rPr>
                <w:rFonts w:asciiTheme="minorEastAsia" w:hAnsiTheme="minorEastAsia"/>
                <w:szCs w:val="21"/>
              </w:rPr>
              <w:t>1.4G/1.8G</w:t>
            </w:r>
            <w:r>
              <w:rPr>
                <w:rFonts w:hint="eastAsia" w:asciiTheme="minorEastAsia" w:hAnsiTheme="minorEastAsia"/>
                <w:szCs w:val="21"/>
              </w:rPr>
              <w:t>。信道带宽</w:t>
            </w:r>
            <w:r>
              <w:rPr>
                <w:rFonts w:asciiTheme="minorEastAsia" w:hAnsiTheme="minorEastAsia"/>
                <w:szCs w:val="21"/>
              </w:rPr>
              <w:t>20MHz</w:t>
            </w:r>
            <w:r>
              <w:rPr>
                <w:rFonts w:hint="eastAsia" w:asciiTheme="minorEastAsia" w:hAnsiTheme="minorEastAsia"/>
                <w:szCs w:val="21"/>
              </w:rPr>
              <w:t>，上</w:t>
            </w:r>
            <w:r>
              <w:rPr>
                <w:rFonts w:asciiTheme="minorEastAsia" w:hAnsiTheme="minorEastAsia"/>
                <w:szCs w:val="21"/>
              </w:rPr>
              <w:t>/</w:t>
            </w:r>
            <w:r>
              <w:rPr>
                <w:rFonts w:hint="eastAsia" w:asciiTheme="minorEastAsia" w:hAnsiTheme="minorEastAsia"/>
                <w:szCs w:val="21"/>
              </w:rPr>
              <w:t>下行峰值速率：</w:t>
            </w:r>
            <w:r>
              <w:rPr>
                <w:rFonts w:asciiTheme="minorEastAsia" w:hAnsiTheme="minorEastAsia"/>
                <w:szCs w:val="21"/>
              </w:rPr>
              <w:t>50Mbps/100Mbps</w:t>
            </w:r>
            <w:r>
              <w:rPr>
                <w:rFonts w:hint="eastAsia" w:asciiTheme="minorEastAsia" w:hAnsiTheme="minorEastAsia"/>
                <w:szCs w:val="21"/>
              </w:rPr>
              <w:t>。单基站半径覆盖达</w:t>
            </w:r>
            <w:r>
              <w:rPr>
                <w:rFonts w:asciiTheme="minorEastAsia" w:hAnsiTheme="minorEastAsia"/>
                <w:szCs w:val="21"/>
              </w:rPr>
              <w:t>5~10</w:t>
            </w:r>
            <w:r>
              <w:rPr>
                <w:rFonts w:hint="eastAsia" w:asciiTheme="minorEastAsia" w:hAnsiTheme="minorEastAsia"/>
                <w:szCs w:val="21"/>
              </w:rPr>
              <w:t>公里范围。可在</w:t>
            </w:r>
            <w:r>
              <w:rPr>
                <w:rFonts w:asciiTheme="minorEastAsia" w:hAnsiTheme="minorEastAsia"/>
                <w:szCs w:val="21"/>
              </w:rPr>
              <w:t>300</w:t>
            </w:r>
            <w:r>
              <w:rPr>
                <w:rFonts w:hint="eastAsia" w:asciiTheme="minorEastAsia" w:hAnsiTheme="minorEastAsia"/>
                <w:szCs w:val="21"/>
              </w:rPr>
              <w:t>公里</w:t>
            </w:r>
            <w:r>
              <w:rPr>
                <w:rFonts w:asciiTheme="minorEastAsia" w:hAnsiTheme="minorEastAsia"/>
                <w:szCs w:val="21"/>
              </w:rPr>
              <w:t>/</w:t>
            </w:r>
            <w:r>
              <w:rPr>
                <w:rFonts w:hint="eastAsia" w:asciiTheme="minorEastAsia" w:hAnsiTheme="minorEastAsia"/>
                <w:szCs w:val="21"/>
              </w:rPr>
              <w:t>小时高速行驶中保持正常通行。可以提供语音、视频通话以及语音和视频的多媒体调度；关键设备、场景的视频监控；应急通讯；环境监控和报警；工业控制节点的数据采集及控制等各类行业物联网应用等定制化的业务。目前系统已实施的成功案例包括：南京</w:t>
            </w:r>
            <w:r>
              <w:rPr>
                <w:rFonts w:hint="eastAsia" w:asciiTheme="minorEastAsia" w:hAnsiTheme="minorEastAsia"/>
                <w:bCs/>
                <w:szCs w:val="21"/>
              </w:rPr>
              <w:t>青奥会老山赛场视频监控、克拉玛依智慧油田建设、无锡市智慧城市建设。某型号产品已被国家安全局列装。</w:t>
            </w:r>
          </w:p>
          <w:p>
            <w:pPr>
              <w:spacing w:line="320" w:lineRule="exact"/>
              <w:ind w:firstLine="42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30、</w:t>
            </w:r>
            <w:r>
              <w:rPr>
                <w:rFonts w:asciiTheme="minorEastAsia" w:hAnsiTheme="minorEastAsia"/>
                <w:szCs w:val="21"/>
              </w:rPr>
              <w:t>DC-DC</w:t>
            </w:r>
            <w:r>
              <w:rPr>
                <w:rFonts w:hint="eastAsia" w:asciiTheme="minorEastAsia" w:hAnsiTheme="minorEastAsia"/>
                <w:szCs w:val="21"/>
              </w:rPr>
              <w:t>变换器的建模、分析与先进控制技术</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ind w:firstLine="420"/>
              <w:rPr>
                <w:rFonts w:asciiTheme="minorEastAsia" w:hAnsiTheme="minorEastAsia"/>
                <w:kern w:val="24"/>
                <w:szCs w:val="21"/>
              </w:rPr>
            </w:pPr>
            <w:bookmarkStart w:id="2" w:name="OLE_LINK6"/>
            <w:bookmarkStart w:id="3" w:name="OLE_LINK5"/>
            <w:r>
              <w:rPr>
                <w:rFonts w:hint="eastAsia" w:asciiTheme="minorEastAsia" w:hAnsiTheme="minorEastAsia"/>
                <w:kern w:val="24"/>
                <w:szCs w:val="21"/>
              </w:rPr>
              <w:t>因其广阔的工业应用范围和越来越高的精度、效率要求，</w:t>
            </w:r>
            <w:r>
              <w:rPr>
                <w:rFonts w:asciiTheme="minorEastAsia" w:hAnsiTheme="minorEastAsia"/>
                <w:kern w:val="24"/>
                <w:szCs w:val="21"/>
              </w:rPr>
              <w:t>DC-DC</w:t>
            </w:r>
            <w:r>
              <w:rPr>
                <w:rFonts w:hint="eastAsia" w:asciiTheme="minorEastAsia" w:hAnsiTheme="minorEastAsia"/>
                <w:kern w:val="24"/>
                <w:szCs w:val="21"/>
              </w:rPr>
              <w:t>变换器系统已经引起电气工程师和控制工程师的广泛研究和关注。</w:t>
            </w:r>
            <w:r>
              <w:rPr>
                <w:rFonts w:asciiTheme="minorEastAsia" w:hAnsiTheme="minorEastAsia"/>
                <w:kern w:val="24"/>
                <w:szCs w:val="21"/>
              </w:rPr>
              <w:t>DC-DC</w:t>
            </w:r>
            <w:r>
              <w:rPr>
                <w:rFonts w:hint="eastAsia" w:asciiTheme="minorEastAsia" w:hAnsiTheme="minorEastAsia"/>
                <w:kern w:val="24"/>
                <w:szCs w:val="21"/>
              </w:rPr>
              <w:t>变换器系统本身固有的非线性特性，已经使得传统线性控制方案，如</w:t>
            </w:r>
            <w:r>
              <w:rPr>
                <w:rFonts w:asciiTheme="minorEastAsia" w:hAnsiTheme="minorEastAsia"/>
                <w:kern w:val="24"/>
                <w:szCs w:val="21"/>
              </w:rPr>
              <w:t>PID</w:t>
            </w:r>
            <w:r>
              <w:rPr>
                <w:rFonts w:hint="eastAsia" w:asciiTheme="minorEastAsia" w:hAnsiTheme="minorEastAsia"/>
                <w:kern w:val="24"/>
                <w:szCs w:val="21"/>
              </w:rPr>
              <w:t>控制等，无法取得满意控制效果。此外</w:t>
            </w:r>
            <w:r>
              <w:rPr>
                <w:rFonts w:asciiTheme="minorEastAsia" w:hAnsiTheme="minorEastAsia"/>
                <w:kern w:val="24"/>
                <w:szCs w:val="21"/>
              </w:rPr>
              <w:t>DC-DC</w:t>
            </w:r>
            <w:r>
              <w:rPr>
                <w:rFonts w:hint="eastAsia" w:asciiTheme="minorEastAsia" w:hAnsiTheme="minorEastAsia"/>
                <w:kern w:val="24"/>
                <w:szCs w:val="21"/>
              </w:rPr>
              <w:t>变换器系统负载的突变、输入电压的波动、半导体器件的电磁干扰和参数变化等各种因素都严重破坏</w:t>
            </w:r>
            <w:r>
              <w:rPr>
                <w:rFonts w:asciiTheme="minorEastAsia" w:hAnsiTheme="minorEastAsia"/>
                <w:kern w:val="24"/>
                <w:szCs w:val="21"/>
              </w:rPr>
              <w:t>DC-DC</w:t>
            </w:r>
            <w:r>
              <w:rPr>
                <w:rFonts w:hint="eastAsia" w:asciiTheme="minorEastAsia" w:hAnsiTheme="minorEastAsia"/>
                <w:kern w:val="24"/>
                <w:szCs w:val="21"/>
              </w:rPr>
              <w:t>变换器的精度要求。</w:t>
            </w:r>
          </w:p>
          <w:p>
            <w:pPr>
              <w:ind w:firstLine="420"/>
              <w:rPr>
                <w:rFonts w:asciiTheme="minorEastAsia" w:hAnsiTheme="minorEastAsia"/>
                <w:szCs w:val="21"/>
              </w:rPr>
            </w:pPr>
            <w:r>
              <w:rPr>
                <w:rFonts w:hint="eastAsia" w:asciiTheme="minorEastAsia" w:hAnsiTheme="minorEastAsia"/>
                <w:kern w:val="24"/>
                <w:szCs w:val="21"/>
              </w:rPr>
              <w:t>面向</w:t>
            </w:r>
            <w:r>
              <w:rPr>
                <w:rFonts w:asciiTheme="minorEastAsia" w:hAnsiTheme="minorEastAsia"/>
                <w:kern w:val="24"/>
                <w:szCs w:val="21"/>
              </w:rPr>
              <w:t>DC-DC</w:t>
            </w:r>
            <w:r>
              <w:rPr>
                <w:rFonts w:hint="eastAsia" w:asciiTheme="minorEastAsia" w:hAnsiTheme="minorEastAsia"/>
                <w:kern w:val="24"/>
                <w:szCs w:val="21"/>
              </w:rPr>
              <w:t>变换器系统，我们已经拥有一整套的建模、分析和设计方案。利用干扰观测器技术对有负载突变、输入电压波动和模型误差引起的干扰进行实时精确估计，从而进行精确补偿，消除干扰造成的不利影响，可以与滑模控制和其他先进的非线性控制算法结合，实现基于干扰观测器的非线性抗干扰技术。</w:t>
            </w:r>
            <w:r>
              <w:rPr>
                <w:rFonts w:hint="eastAsia" w:asciiTheme="minorEastAsia" w:hAnsiTheme="minorEastAsia"/>
                <w:szCs w:val="21"/>
              </w:rPr>
              <w:t>我们提出了从建模、分析、先进控制方法设计到具体实现参数、规律总结凝炼等一整套的</w:t>
            </w:r>
            <w:r>
              <w:rPr>
                <w:rFonts w:asciiTheme="minorEastAsia" w:hAnsiTheme="minorEastAsia"/>
                <w:szCs w:val="21"/>
              </w:rPr>
              <w:t>DC-DC</w:t>
            </w:r>
            <w:r>
              <w:rPr>
                <w:rFonts w:hint="eastAsia" w:asciiTheme="minorEastAsia" w:hAnsiTheme="minorEastAsia"/>
                <w:szCs w:val="21"/>
              </w:rPr>
              <w:t>变换器系统先进控制解决方案，成果已经成功应用于多种工业设备。一方面可以通过软件算法设计保证和提升</w:t>
            </w:r>
            <w:r>
              <w:rPr>
                <w:rFonts w:asciiTheme="minorEastAsia" w:hAnsiTheme="minorEastAsia"/>
                <w:szCs w:val="21"/>
              </w:rPr>
              <w:t>DC-DC</w:t>
            </w:r>
            <w:r>
              <w:rPr>
                <w:rFonts w:hint="eastAsia" w:asciiTheme="minorEastAsia" w:hAnsiTheme="minorEastAsia"/>
                <w:szCs w:val="21"/>
              </w:rPr>
              <w:t>变换器系统的精度和效率，另一方面，可以实现系统对于负载突变、输入波动、电磁干扰的有效抑制，提升系统的抗干扰性能。</w:t>
            </w:r>
          </w:p>
          <w:p>
            <w:pPr>
              <w:spacing w:line="220" w:lineRule="atLeast"/>
              <w:ind w:firstLine="420" w:firstLineChars="200"/>
              <w:rPr>
                <w:rFonts w:asciiTheme="minorEastAsia" w:hAnsiTheme="minorEastAsia"/>
                <w:szCs w:val="21"/>
              </w:rPr>
            </w:pPr>
            <w:r>
              <w:rPr>
                <w:rFonts w:hint="eastAsia" w:asciiTheme="minorEastAsia" w:hAnsiTheme="minorEastAsia"/>
                <w:szCs w:val="21"/>
              </w:rPr>
              <w:t>目前成果已有多篇</w:t>
            </w:r>
            <w:r>
              <w:rPr>
                <w:rFonts w:asciiTheme="minorEastAsia" w:hAnsiTheme="minorEastAsia"/>
                <w:szCs w:val="21"/>
              </w:rPr>
              <w:t>SCI</w:t>
            </w:r>
            <w:r>
              <w:rPr>
                <w:rFonts w:hint="eastAsia" w:asciiTheme="minorEastAsia" w:hAnsiTheme="minorEastAsia"/>
                <w:szCs w:val="21"/>
              </w:rPr>
              <w:t>高水平论文发表，申请授权多项发明专利，</w:t>
            </w:r>
            <w:r>
              <w:rPr>
                <w:rFonts w:hint="eastAsia" w:asciiTheme="minorEastAsia" w:hAnsiTheme="minorEastAsia"/>
                <w:kern w:val="24"/>
                <w:szCs w:val="21"/>
              </w:rPr>
              <w:t>技术成熟，解决方案尤其适合多元干扰严重、模型偏差和精度要求高的应用场合。</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31、</w:t>
            </w:r>
            <w:r>
              <w:rPr>
                <w:rFonts w:asciiTheme="minorEastAsia" w:hAnsiTheme="minorEastAsia"/>
                <w:szCs w:val="21"/>
              </w:rPr>
              <w:t>5kV</w:t>
            </w:r>
            <w:r>
              <w:rPr>
                <w:rFonts w:hint="eastAsia" w:asciiTheme="minorEastAsia" w:hAnsiTheme="minorEastAsia"/>
                <w:szCs w:val="21"/>
              </w:rPr>
              <w:t>脉冲式线圈（绕组）层间绝缘性能分析仪</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asciiTheme="minorEastAsia" w:hAnsiTheme="minorEastAsia"/>
                <w:szCs w:val="21"/>
              </w:rPr>
              <w:t>5kV</w:t>
            </w:r>
            <w:r>
              <w:rPr>
                <w:rFonts w:hint="eastAsia" w:asciiTheme="minorEastAsia" w:hAnsiTheme="minorEastAsia"/>
                <w:szCs w:val="21"/>
              </w:rPr>
              <w:t>脉冲式线圈（绕组）层间绝缘性能分析仪是用于电机、变压器、绕线电感、马达等绕组元件的层间绝缘性能分析的设备。与同类仪器相比，特点有：具有在线自校正算法，实时校正由于电力电子元件导通</w:t>
            </w:r>
            <w:r>
              <w:rPr>
                <w:rFonts w:asciiTheme="minorEastAsia" w:hAnsiTheme="minorEastAsia"/>
                <w:szCs w:val="21"/>
              </w:rPr>
              <w:t>/</w:t>
            </w:r>
            <w:r>
              <w:rPr>
                <w:rFonts w:hint="eastAsia" w:asciiTheme="minorEastAsia" w:hAnsiTheme="minorEastAsia"/>
                <w:szCs w:val="21"/>
              </w:rPr>
              <w:t>关闭时延随机变动引起敏感相移误差；具有电晕信号实时检测算法，准确检测出线圈内部存在的隐含缺陷；最高采样率</w:t>
            </w:r>
            <w:r>
              <w:rPr>
                <w:rFonts w:asciiTheme="minorEastAsia" w:hAnsiTheme="minorEastAsia"/>
                <w:szCs w:val="21"/>
              </w:rPr>
              <w:t>200MSPS</w:t>
            </w:r>
            <w:r>
              <w:rPr>
                <w:rFonts w:hint="eastAsia" w:asciiTheme="minorEastAsia" w:hAnsiTheme="minorEastAsia"/>
                <w:szCs w:val="21"/>
              </w:rPr>
              <w:t>，可深入观测被测件波形变化细节；可同步测量绕组线圈的电感</w:t>
            </w:r>
            <w:r>
              <w:rPr>
                <w:rFonts w:asciiTheme="minorEastAsia" w:hAnsiTheme="minorEastAsia"/>
                <w:szCs w:val="21"/>
              </w:rPr>
              <w:t>L</w:t>
            </w:r>
            <w:r>
              <w:rPr>
                <w:rFonts w:hint="eastAsia" w:asciiTheme="minorEastAsia" w:hAnsiTheme="minorEastAsia"/>
                <w:szCs w:val="21"/>
              </w:rPr>
              <w:t>、阻尼比、</w:t>
            </w:r>
            <w:r>
              <w:rPr>
                <w:rFonts w:asciiTheme="minorEastAsia" w:hAnsiTheme="minorEastAsia"/>
                <w:szCs w:val="21"/>
              </w:rPr>
              <w:t>Q</w:t>
            </w:r>
            <w:r>
              <w:rPr>
                <w:rFonts w:hint="eastAsia" w:asciiTheme="minorEastAsia" w:hAnsiTheme="minorEastAsia"/>
                <w:szCs w:val="21"/>
              </w:rPr>
              <w:t>等多种参数，实现线圈性能综合分析。该产品已经用于国内外多家电机制造企业。</w:t>
            </w:r>
          </w:p>
          <w:p>
            <w:pPr>
              <w:ind w:firstLine="420"/>
              <w:rPr>
                <w:rFonts w:asciiTheme="minorEastAsia" w:hAnsiTheme="minorEastAsia"/>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32、</w:t>
            </w:r>
            <w:r>
              <w:rPr>
                <w:rFonts w:asciiTheme="minorEastAsia" w:hAnsiTheme="minorEastAsia"/>
                <w:szCs w:val="21"/>
              </w:rPr>
              <w:t>10</w:t>
            </w:r>
            <w:r>
              <w:rPr>
                <w:rFonts w:asciiTheme="minorEastAsia" w:hAnsiTheme="minorEastAsia"/>
                <w:szCs w:val="21"/>
                <w:vertAlign w:val="superscript"/>
              </w:rPr>
              <w:t>16</w:t>
            </w:r>
            <w:r>
              <w:rPr>
                <w:rFonts w:cs="Calibri" w:asciiTheme="minorEastAsia" w:hAnsiTheme="minorEastAsia"/>
                <w:szCs w:val="21"/>
              </w:rPr>
              <w:t>Ω</w:t>
            </w:r>
            <w:r>
              <w:rPr>
                <w:rFonts w:hint="eastAsia" w:asciiTheme="minorEastAsia" w:hAnsiTheme="minorEastAsia"/>
                <w:szCs w:val="21"/>
              </w:rPr>
              <w:t>超高绝缘电阻检测装置</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批量生产阶段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asciiTheme="minorEastAsia" w:hAnsiTheme="minorEastAsia"/>
                <w:szCs w:val="21"/>
              </w:rPr>
              <w:t>10</w:t>
            </w:r>
            <w:r>
              <w:rPr>
                <w:rFonts w:asciiTheme="minorEastAsia" w:hAnsiTheme="minorEastAsia"/>
                <w:szCs w:val="21"/>
                <w:vertAlign w:val="superscript"/>
              </w:rPr>
              <w:t>16</w:t>
            </w:r>
            <w:r>
              <w:rPr>
                <w:rFonts w:cs="Calibri" w:asciiTheme="minorEastAsia" w:hAnsiTheme="minorEastAsia"/>
                <w:szCs w:val="21"/>
              </w:rPr>
              <w:t>Ω</w:t>
            </w:r>
            <w:r>
              <w:rPr>
                <w:rFonts w:hint="eastAsia" w:asciiTheme="minorEastAsia" w:hAnsiTheme="minorEastAsia"/>
                <w:szCs w:val="21"/>
              </w:rPr>
              <w:t>超高绝缘电阻检测装置是基于静电计原理的新型超高绝缘电阻测试仪，通过在线实时误差补偿算法抑制因夹具、外部电磁干扰、电路板泄漏等产生的非线性时变本底电流和零位的影响，仪器可测下限</w:t>
            </w:r>
            <w:r>
              <w:rPr>
                <w:rFonts w:asciiTheme="minorEastAsia" w:hAnsiTheme="minorEastAsia"/>
                <w:szCs w:val="21"/>
              </w:rPr>
              <w:t>100fA</w:t>
            </w:r>
            <w:r>
              <w:rPr>
                <w:rFonts w:hint="eastAsia" w:asciiTheme="minorEastAsia" w:hAnsiTheme="minorEastAsia"/>
                <w:szCs w:val="21"/>
              </w:rPr>
              <w:t>，</w:t>
            </w:r>
            <w:r>
              <w:rPr>
                <w:rFonts w:asciiTheme="minorEastAsia" w:hAnsiTheme="minorEastAsia"/>
                <w:szCs w:val="21"/>
              </w:rPr>
              <w:t>1000V</w:t>
            </w:r>
            <w:r>
              <w:rPr>
                <w:rFonts w:hint="eastAsia" w:asciiTheme="minorEastAsia" w:hAnsiTheme="minorEastAsia"/>
                <w:szCs w:val="21"/>
              </w:rPr>
              <w:t>下可测</w:t>
            </w:r>
            <w:r>
              <w:rPr>
                <w:rFonts w:asciiTheme="minorEastAsia" w:hAnsiTheme="minorEastAsia"/>
                <w:szCs w:val="21"/>
              </w:rPr>
              <w:t>10</w:t>
            </w:r>
            <w:r>
              <w:rPr>
                <w:rFonts w:asciiTheme="minorEastAsia" w:hAnsiTheme="minorEastAsia"/>
                <w:szCs w:val="21"/>
                <w:vertAlign w:val="superscript"/>
              </w:rPr>
              <w:t>16</w:t>
            </w:r>
            <w:r>
              <w:rPr>
                <w:rFonts w:cs="Calibri" w:asciiTheme="minorEastAsia" w:hAnsiTheme="minorEastAsia"/>
                <w:szCs w:val="21"/>
              </w:rPr>
              <w:t>Ω</w:t>
            </w:r>
            <w:r>
              <w:rPr>
                <w:rFonts w:hint="eastAsia" w:cs="Calibri" w:asciiTheme="minorEastAsia" w:hAnsiTheme="minorEastAsia"/>
                <w:szCs w:val="21"/>
              </w:rPr>
              <w:t>，</w:t>
            </w:r>
            <w:r>
              <w:rPr>
                <w:rFonts w:hint="eastAsia" w:asciiTheme="minorEastAsia" w:hAnsiTheme="minorEastAsia"/>
                <w:szCs w:val="21"/>
              </w:rPr>
              <w:t>在</w:t>
            </w:r>
            <w:r>
              <w:rPr>
                <w:rFonts w:asciiTheme="minorEastAsia" w:hAnsiTheme="minorEastAsia"/>
                <w:szCs w:val="21"/>
              </w:rPr>
              <w:t>10</w:t>
            </w:r>
            <w:r>
              <w:rPr>
                <w:rFonts w:asciiTheme="minorEastAsia" w:hAnsiTheme="minorEastAsia"/>
                <w:szCs w:val="21"/>
                <w:vertAlign w:val="superscript"/>
              </w:rPr>
              <w:t>12</w:t>
            </w:r>
            <w:r>
              <w:rPr>
                <w:rFonts w:cs="Calibri" w:asciiTheme="minorEastAsia" w:hAnsiTheme="minorEastAsia"/>
                <w:szCs w:val="21"/>
              </w:rPr>
              <w:t>Ω~</w:t>
            </w:r>
            <w:r>
              <w:rPr>
                <w:rFonts w:asciiTheme="minorEastAsia" w:hAnsiTheme="minorEastAsia"/>
                <w:szCs w:val="21"/>
              </w:rPr>
              <w:t>10</w:t>
            </w:r>
            <w:r>
              <w:rPr>
                <w:rFonts w:asciiTheme="minorEastAsia" w:hAnsiTheme="minorEastAsia"/>
                <w:szCs w:val="21"/>
                <w:vertAlign w:val="superscript"/>
              </w:rPr>
              <w:t>15</w:t>
            </w:r>
            <w:r>
              <w:rPr>
                <w:rFonts w:cs="Calibri" w:asciiTheme="minorEastAsia" w:hAnsiTheme="minorEastAsia"/>
                <w:szCs w:val="21"/>
              </w:rPr>
              <w:t>Ω</w:t>
            </w:r>
            <w:r>
              <w:rPr>
                <w:rFonts w:hint="eastAsia" w:cs="Calibri" w:asciiTheme="minorEastAsia" w:hAnsiTheme="minorEastAsia"/>
                <w:szCs w:val="21"/>
              </w:rPr>
              <w:t>范围达到</w:t>
            </w:r>
            <w:r>
              <w:rPr>
                <w:rFonts w:cs="Calibri" w:asciiTheme="minorEastAsia" w:hAnsiTheme="minorEastAsia"/>
                <w:szCs w:val="21"/>
              </w:rPr>
              <w:t>±5%</w:t>
            </w:r>
            <w:r>
              <w:rPr>
                <w:rFonts w:hint="eastAsia" w:cs="Calibri" w:asciiTheme="minorEastAsia" w:hAnsiTheme="minorEastAsia"/>
                <w:szCs w:val="21"/>
              </w:rPr>
              <w:t>的测量不确定度，</w:t>
            </w:r>
            <w:r>
              <w:rPr>
                <w:rFonts w:hint="eastAsia" w:asciiTheme="minorEastAsia" w:hAnsiTheme="minorEastAsia"/>
                <w:szCs w:val="21"/>
              </w:rPr>
              <w:t>在</w:t>
            </w:r>
            <w:r>
              <w:rPr>
                <w:rFonts w:asciiTheme="minorEastAsia" w:hAnsiTheme="minorEastAsia"/>
                <w:szCs w:val="21"/>
              </w:rPr>
              <w:t>10</w:t>
            </w:r>
            <w:r>
              <w:rPr>
                <w:rFonts w:asciiTheme="minorEastAsia" w:hAnsiTheme="minorEastAsia"/>
                <w:szCs w:val="21"/>
                <w:vertAlign w:val="superscript"/>
              </w:rPr>
              <w:t>12</w:t>
            </w:r>
            <w:r>
              <w:rPr>
                <w:rFonts w:cs="Calibri" w:asciiTheme="minorEastAsia" w:hAnsiTheme="minorEastAsia"/>
                <w:szCs w:val="21"/>
              </w:rPr>
              <w:t>Ω</w:t>
            </w:r>
            <w:r>
              <w:rPr>
                <w:rFonts w:hint="eastAsia" w:cs="Calibri" w:asciiTheme="minorEastAsia" w:hAnsiTheme="minorEastAsia"/>
                <w:szCs w:val="21"/>
              </w:rPr>
              <w:t>以下范围达到</w:t>
            </w:r>
            <w:r>
              <w:rPr>
                <w:rFonts w:cs="Calibri" w:asciiTheme="minorEastAsia" w:hAnsiTheme="minorEastAsia"/>
                <w:szCs w:val="21"/>
              </w:rPr>
              <w:t>±1%</w:t>
            </w:r>
            <w:r>
              <w:rPr>
                <w:rFonts w:hint="eastAsia" w:cs="Calibri" w:asciiTheme="minorEastAsia" w:hAnsiTheme="minorEastAsia"/>
                <w:szCs w:val="21"/>
              </w:rPr>
              <w:t>的测量不确定度。该产品目前已用于特种薄膜绝缘性能检测、超低损耗电容器泄漏检测等领域。</w:t>
            </w:r>
          </w:p>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33、</w:t>
            </w:r>
            <w:r>
              <w:rPr>
                <w:rFonts w:asciiTheme="minorEastAsia" w:hAnsiTheme="minorEastAsia"/>
                <w:szCs w:val="21"/>
              </w:rPr>
              <w:t>PLC</w:t>
            </w:r>
            <w:r>
              <w:rPr>
                <w:rFonts w:hint="eastAsia" w:asciiTheme="minorEastAsia" w:hAnsiTheme="minorEastAsia"/>
                <w:szCs w:val="21"/>
              </w:rPr>
              <w:t>远程程序监控与数据监控系统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asciiTheme="minorEastAsia" w:hAnsiTheme="minorEastAsia"/>
                <w:szCs w:val="21"/>
              </w:rPr>
              <w:t>PLC</w:t>
            </w:r>
            <w:r>
              <w:rPr>
                <w:rFonts w:hint="eastAsia" w:asciiTheme="minorEastAsia" w:hAnsiTheme="minorEastAsia"/>
                <w:szCs w:val="21"/>
              </w:rPr>
              <w:t>远程程序监控与数据监控系统实现了对</w:t>
            </w:r>
            <w:r>
              <w:rPr>
                <w:rFonts w:asciiTheme="minorEastAsia" w:hAnsiTheme="minorEastAsia"/>
                <w:szCs w:val="21"/>
              </w:rPr>
              <w:t>PLC</w:t>
            </w:r>
            <w:r>
              <w:rPr>
                <w:rFonts w:hint="eastAsia" w:asciiTheme="minorEastAsia" w:hAnsiTheme="minorEastAsia"/>
                <w:szCs w:val="21"/>
              </w:rPr>
              <w:t>设备的远程程序修改与升级维护，以及对</w:t>
            </w:r>
            <w:r>
              <w:rPr>
                <w:rFonts w:asciiTheme="minorEastAsia" w:hAnsiTheme="minorEastAsia"/>
                <w:szCs w:val="21"/>
              </w:rPr>
              <w:t>PLC</w:t>
            </w:r>
            <w:r>
              <w:rPr>
                <w:rFonts w:hint="eastAsia" w:asciiTheme="minorEastAsia" w:hAnsiTheme="minorEastAsia"/>
                <w:szCs w:val="21"/>
              </w:rPr>
              <w:t>设备运行状态的实时监测以及远程指令控制。整个系统由远程发射器（自主开发）和监控软件两部分组成，远程发射器可支持三种网络连接模式：以太网、</w:t>
            </w:r>
            <w:r>
              <w:rPr>
                <w:rFonts w:asciiTheme="minorEastAsia" w:hAnsiTheme="minorEastAsia"/>
                <w:szCs w:val="21"/>
              </w:rPr>
              <w:t>WIFI</w:t>
            </w:r>
            <w:r>
              <w:rPr>
                <w:rFonts w:hint="eastAsia" w:asciiTheme="minorEastAsia" w:hAnsiTheme="minorEastAsia"/>
                <w:szCs w:val="21"/>
              </w:rPr>
              <w:t>和</w:t>
            </w:r>
            <w:r>
              <w:rPr>
                <w:rFonts w:asciiTheme="minorEastAsia" w:hAnsiTheme="minorEastAsia"/>
                <w:szCs w:val="21"/>
              </w:rPr>
              <w:t>GPRS</w:t>
            </w:r>
            <w:r>
              <w:rPr>
                <w:rFonts w:hint="eastAsia" w:asciiTheme="minorEastAsia" w:hAnsiTheme="minorEastAsia"/>
                <w:szCs w:val="21"/>
              </w:rPr>
              <w:t>（</w:t>
            </w:r>
            <w:r>
              <w:rPr>
                <w:rFonts w:asciiTheme="minorEastAsia" w:hAnsiTheme="minorEastAsia"/>
                <w:szCs w:val="21"/>
              </w:rPr>
              <w:t>2G/3G</w:t>
            </w:r>
            <w:r>
              <w:rPr>
                <w:rFonts w:hint="eastAsia" w:asciiTheme="minorEastAsia" w:hAnsiTheme="minorEastAsia"/>
                <w:szCs w:val="21"/>
              </w:rPr>
              <w:t>）。其中，以太网方式适用于具有网络端口的环境；</w:t>
            </w:r>
            <w:r>
              <w:rPr>
                <w:rFonts w:asciiTheme="minorEastAsia" w:hAnsiTheme="minorEastAsia"/>
                <w:szCs w:val="21"/>
              </w:rPr>
              <w:t>WIFI</w:t>
            </w:r>
            <w:r>
              <w:rPr>
                <w:rFonts w:hint="eastAsia" w:asciiTheme="minorEastAsia" w:hAnsiTheme="minorEastAsia"/>
                <w:szCs w:val="21"/>
              </w:rPr>
              <w:t>方式适用于具有无线网络的工业现场；</w:t>
            </w:r>
            <w:r>
              <w:rPr>
                <w:rFonts w:asciiTheme="minorEastAsia" w:hAnsiTheme="minorEastAsia"/>
                <w:szCs w:val="21"/>
              </w:rPr>
              <w:t>GPRS</w:t>
            </w:r>
            <w:r>
              <w:rPr>
                <w:rFonts w:hint="eastAsia" w:asciiTheme="minorEastAsia" w:hAnsiTheme="minorEastAsia"/>
                <w:szCs w:val="21"/>
              </w:rPr>
              <w:t>方式则适用于无以太网环境下的设备连接，但网速受限。监控软件支持</w:t>
            </w:r>
            <w:r>
              <w:rPr>
                <w:rFonts w:asciiTheme="minorEastAsia" w:hAnsiTheme="minorEastAsia"/>
                <w:szCs w:val="21"/>
              </w:rPr>
              <w:t>C/S</w:t>
            </w:r>
            <w:r>
              <w:rPr>
                <w:rFonts w:hint="eastAsia" w:asciiTheme="minorEastAsia" w:hAnsiTheme="minorEastAsia"/>
                <w:szCs w:val="21"/>
              </w:rPr>
              <w:t>和</w:t>
            </w:r>
            <w:r>
              <w:rPr>
                <w:rFonts w:asciiTheme="minorEastAsia" w:hAnsiTheme="minorEastAsia"/>
                <w:szCs w:val="21"/>
              </w:rPr>
              <w:t>B/S</w:t>
            </w:r>
            <w:r>
              <w:rPr>
                <w:rFonts w:hint="eastAsia" w:asciiTheme="minorEastAsia" w:hAnsiTheme="minorEastAsia"/>
                <w:szCs w:val="21"/>
              </w:rPr>
              <w:t>两种工作模式，其客户端为用户提供数据监控与分析、程序升级、客户信息查询、设备位置管理等功能。一旦设备出现故障，维修人员通过及时对</w:t>
            </w:r>
            <w:r>
              <w:rPr>
                <w:rFonts w:asciiTheme="minorEastAsia" w:hAnsiTheme="minorEastAsia"/>
                <w:szCs w:val="21"/>
              </w:rPr>
              <w:t>PLC</w:t>
            </w:r>
            <w:r>
              <w:rPr>
                <w:rFonts w:hint="eastAsia" w:asciiTheme="minorEastAsia" w:hAnsiTheme="minorEastAsia"/>
                <w:szCs w:val="21"/>
              </w:rPr>
              <w:t>设备进行远程数据和程序监控，就能帮助客户排除故障，从而减少售后服务时间，也提高了设备利用率。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34、摄像式远传水表管理系统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hint="eastAsia" w:asciiTheme="minorEastAsia" w:hAnsiTheme="minorEastAsia"/>
                <w:szCs w:val="21"/>
              </w:rPr>
              <w:t>摄像式远传水表管理系统针对现有水表抄表系统的缺点和不足，采用分线制集中抄表方式，通过在</w:t>
            </w:r>
            <w:r>
              <w:rPr>
                <w:rFonts w:asciiTheme="minorEastAsia" w:hAnsiTheme="minorEastAsia"/>
                <w:szCs w:val="21"/>
              </w:rPr>
              <w:t>E</w:t>
            </w:r>
            <w:r>
              <w:rPr>
                <w:rFonts w:hint="eastAsia" w:asciiTheme="minorEastAsia" w:hAnsiTheme="minorEastAsia"/>
                <w:szCs w:val="21"/>
              </w:rPr>
              <w:t>型表头安装摄像头，利用自主开发的</w:t>
            </w:r>
            <w:r>
              <w:rPr>
                <w:rFonts w:asciiTheme="minorEastAsia" w:hAnsiTheme="minorEastAsia"/>
                <w:szCs w:val="21"/>
              </w:rPr>
              <w:t>GPRS</w:t>
            </w:r>
            <w:r>
              <w:rPr>
                <w:rFonts w:hint="eastAsia" w:asciiTheme="minorEastAsia" w:hAnsiTheme="minorEastAsia"/>
                <w:szCs w:val="21"/>
              </w:rPr>
              <w:t>抄表集中器和上位机管理软件完成自动抄表。其工作原理为：集中器定时控制摄像头采集水表的图像数据，通过</w:t>
            </w:r>
            <w:r>
              <w:rPr>
                <w:rFonts w:asciiTheme="minorEastAsia" w:hAnsiTheme="minorEastAsia"/>
                <w:szCs w:val="21"/>
              </w:rPr>
              <w:t>GPRS</w:t>
            </w:r>
            <w:r>
              <w:rPr>
                <w:rFonts w:hint="eastAsia" w:asciiTheme="minorEastAsia" w:hAnsiTheme="minorEastAsia"/>
                <w:szCs w:val="21"/>
              </w:rPr>
              <w:t>将数据上传到上位机管理软件的服务器，由服务器对水表图像进行识别、获得水表读数，用户基于</w:t>
            </w:r>
            <w:r>
              <w:rPr>
                <w:rFonts w:asciiTheme="minorEastAsia" w:hAnsiTheme="minorEastAsia"/>
                <w:szCs w:val="21"/>
              </w:rPr>
              <w:t>C/S</w:t>
            </w:r>
            <w:r>
              <w:rPr>
                <w:rFonts w:hint="eastAsia" w:asciiTheme="minorEastAsia" w:hAnsiTheme="minorEastAsia"/>
                <w:szCs w:val="21"/>
              </w:rPr>
              <w:t>模式的客户端软件能够查询用户及其水量信息，并支持缴费等一系列操作。该系统有效解决了水表数量大、分布散所造成的通信费用投资高，可靠性低等问题，也使得生活更加方便、快捷。针对水表表头数字图像识别所研究的算法在实际应用中有着较高的识别率、性能稳定、可靠，达到了预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35、变流器</w:t>
            </w:r>
            <w:r>
              <w:rPr>
                <w:rFonts w:asciiTheme="minorEastAsia" w:hAnsiTheme="minorEastAsia"/>
                <w:szCs w:val="21"/>
              </w:rPr>
              <w:t>HMI</w:t>
            </w:r>
            <w:r>
              <w:rPr>
                <w:rFonts w:hint="eastAsia" w:asciiTheme="minorEastAsia" w:hAnsiTheme="minorEastAsia"/>
                <w:szCs w:val="21"/>
              </w:rPr>
              <w:t>监控软件</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小批量生产阶段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hint="eastAsia" w:asciiTheme="minorEastAsia" w:hAnsiTheme="minorEastAsia"/>
                <w:szCs w:val="21"/>
              </w:rPr>
              <w:t>变流器</w:t>
            </w:r>
            <w:r>
              <w:rPr>
                <w:rFonts w:asciiTheme="minorEastAsia" w:hAnsiTheme="minorEastAsia"/>
                <w:szCs w:val="21"/>
              </w:rPr>
              <w:t>HMI</w:t>
            </w:r>
            <w:r>
              <w:rPr>
                <w:rFonts w:hint="eastAsia" w:asciiTheme="minorEastAsia" w:hAnsiTheme="minorEastAsia"/>
                <w:szCs w:val="21"/>
              </w:rPr>
              <w:t>（</w:t>
            </w:r>
            <w:r>
              <w:rPr>
                <w:rFonts w:asciiTheme="minorEastAsia" w:hAnsiTheme="minorEastAsia"/>
                <w:szCs w:val="21"/>
              </w:rPr>
              <w:t>Human Machine Interface</w:t>
            </w:r>
            <w:r>
              <w:rPr>
                <w:rFonts w:hint="eastAsia" w:asciiTheme="minorEastAsia" w:hAnsiTheme="minorEastAsia"/>
                <w:szCs w:val="21"/>
              </w:rPr>
              <w:t>）监控软件主要用于变流器产品的维护。</w:t>
            </w:r>
            <w:r>
              <w:rPr>
                <w:rFonts w:asciiTheme="minorEastAsia" w:hAnsiTheme="minorEastAsia"/>
                <w:szCs w:val="21"/>
              </w:rPr>
              <w:t>HMI</w:t>
            </w:r>
            <w:r>
              <w:rPr>
                <w:rFonts w:hint="eastAsia" w:asciiTheme="minorEastAsia" w:hAnsiTheme="minorEastAsia"/>
                <w:szCs w:val="21"/>
              </w:rPr>
              <w:t>软件通过特定的通信接口（</w:t>
            </w:r>
            <w:r>
              <w:rPr>
                <w:rFonts w:asciiTheme="minorEastAsia" w:hAnsiTheme="minorEastAsia"/>
                <w:szCs w:val="21"/>
              </w:rPr>
              <w:t>CAN/RS232/</w:t>
            </w:r>
            <w:r>
              <w:rPr>
                <w:rFonts w:hint="eastAsia" w:asciiTheme="minorEastAsia" w:hAnsiTheme="minorEastAsia"/>
                <w:szCs w:val="21"/>
              </w:rPr>
              <w:t>以太网）与单台或多台变流器设备建立连接，实现多路参数的实时数据采集、故障录播、历史事件记录下载，并予以显示和文件存档。软件提供友好的可视化界面，用户可基于图形和列表两种方式对变流器设备的状态进行监控、分析，以及对变流器进行参数设置等操作。基于</w:t>
            </w:r>
            <w:r>
              <w:rPr>
                <w:rFonts w:asciiTheme="minorEastAsia" w:hAnsiTheme="minorEastAsia"/>
                <w:szCs w:val="21"/>
              </w:rPr>
              <w:t>CAN</w:t>
            </w:r>
            <w:r>
              <w:rPr>
                <w:rFonts w:hint="eastAsia" w:asciiTheme="minorEastAsia" w:hAnsiTheme="minorEastAsia"/>
                <w:szCs w:val="21"/>
              </w:rPr>
              <w:t>接口的</w:t>
            </w:r>
            <w:r>
              <w:rPr>
                <w:rFonts w:asciiTheme="minorEastAsia" w:hAnsiTheme="minorEastAsia"/>
                <w:szCs w:val="21"/>
              </w:rPr>
              <w:t>HMI</w:t>
            </w:r>
            <w:r>
              <w:rPr>
                <w:rFonts w:hint="eastAsia" w:asciiTheme="minorEastAsia" w:hAnsiTheme="minorEastAsia"/>
                <w:szCs w:val="21"/>
              </w:rPr>
              <w:t>软件提供虚拟示波器的功能，具有强大的实时数据分析检测能力（获授权发明专利</w:t>
            </w:r>
            <w:r>
              <w:rPr>
                <w:rFonts w:asciiTheme="minorEastAsia" w:hAnsiTheme="minorEastAsia"/>
                <w:szCs w:val="21"/>
              </w:rPr>
              <w:t>1</w:t>
            </w:r>
            <w:r>
              <w:rPr>
                <w:rFonts w:hint="eastAsia" w:asciiTheme="minorEastAsia" w:hAnsiTheme="minorEastAsia"/>
                <w:szCs w:val="21"/>
              </w:rPr>
              <w:t>项）。变流器</w:t>
            </w:r>
            <w:r>
              <w:rPr>
                <w:rFonts w:asciiTheme="minorEastAsia" w:hAnsiTheme="minorEastAsia"/>
                <w:szCs w:val="21"/>
              </w:rPr>
              <w:t>HMI</w:t>
            </w:r>
            <w:r>
              <w:rPr>
                <w:rFonts w:hint="eastAsia" w:asciiTheme="minorEastAsia" w:hAnsiTheme="minorEastAsia"/>
                <w:szCs w:val="21"/>
              </w:rPr>
              <w:t>监控软件适用于企业技术人员的生产测试及调试、设备现场的故障排查等，其使用人员主要为技术支持人员，变流器客户、内部设计人员及生产测试人员。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36、电梯安全监控系统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rPr>
                <w:rFonts w:asciiTheme="minorEastAsia" w:hAnsiTheme="minorEastAsia"/>
                <w:szCs w:val="21"/>
              </w:rPr>
            </w:pPr>
            <w:r>
              <w:rPr>
                <w:rFonts w:hint="eastAsia" w:asciiTheme="minorEastAsia" w:hAnsiTheme="minorEastAsia"/>
                <w:szCs w:val="21"/>
              </w:rPr>
              <w:t>针对现有电梯安全性定期检验由维护单位提出申请的被动监督模式，该系统实时采集电梯运行中一些影响安全的重要参数，保存到数据服务器，并基于这些电梯运行数据进行分析、挖掘，判定电梯运行的安全程度，必要时向电梯维护单位发出维护和检验要求，以确保电梯的安全运行。</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宋体" w:hAnsi="宋体"/>
                <w:szCs w:val="21"/>
              </w:rPr>
              <w:t>37、基于</w:t>
            </w:r>
            <w:r>
              <w:rPr>
                <w:rFonts w:ascii="宋体" w:hAnsi="宋体"/>
                <w:szCs w:val="21"/>
              </w:rPr>
              <w:t>Zigbee</w:t>
            </w:r>
            <w:r>
              <w:rPr>
                <w:rFonts w:hint="eastAsia" w:ascii="宋体" w:hAnsi="宋体"/>
                <w:szCs w:val="21"/>
              </w:rPr>
              <w:t>物联网技术的智能家居系统</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315" w:firstLineChars="150"/>
              <w:rPr>
                <w:color w:val="000000"/>
                <w:sz w:val="24"/>
              </w:rPr>
            </w:pPr>
            <w:r>
              <w:rPr>
                <w:rFonts w:hint="eastAsia"/>
              </w:rPr>
              <w:t>该系统利用</w:t>
            </w:r>
            <w:r>
              <w:t>ZigBee</w:t>
            </w:r>
            <w:r>
              <w:rPr>
                <w:rFonts w:hint="eastAsia"/>
              </w:rPr>
              <w:t>无线技术进行无线网络的构建，该系统包括环境控制子系统，家庭安防子系统，家电控制子系统，自动抄表子系统，灯光控制子系统等子系统</w:t>
            </w:r>
            <w:r>
              <w:rPr>
                <w:rFonts w:hint="eastAsia"/>
                <w:color w:val="000000"/>
                <w:sz w:val="24"/>
              </w:rPr>
              <w:t>。</w:t>
            </w:r>
          </w:p>
          <w:p>
            <w:pPr>
              <w:rPr>
                <w:rFonts w:asciiTheme="minorEastAsia" w:hAnsiTheme="minorEastAsia"/>
                <w:szCs w:val="21"/>
              </w:rPr>
            </w:pPr>
            <w:r>
              <w:rPr>
                <w:rFonts w:hint="eastAsia"/>
              </w:rPr>
              <w:t>该智能</w:t>
            </w:r>
            <w:r>
              <w:fldChar w:fldCharType="begin"/>
            </w:r>
            <w:r>
              <w:instrText xml:space="preserve"> HYPERLINK "http://baike.baidu.com/view/646017.htm" \t "_blank" </w:instrText>
            </w:r>
            <w:r>
              <w:fldChar w:fldCharType="separate"/>
            </w:r>
            <w:r>
              <w:rPr>
                <w:rFonts w:hint="eastAsia"/>
              </w:rPr>
              <w:t>家居</w:t>
            </w:r>
            <w:r>
              <w:rPr>
                <w:rFonts w:hint="eastAsia"/>
              </w:rPr>
              <w:fldChar w:fldCharType="end"/>
            </w:r>
            <w:r>
              <w:rPr>
                <w:rFonts w:hint="eastAsia"/>
              </w:rPr>
              <w:t>系统使用数字化通信技术把家中的照明系统、空调、窗帘控制器等智能化设备相互连结，有机组合，从而营造出一种舒适、轻松、便捷的环境氛围。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38、三维人脸识别系统3D-FRS</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试生产阶段</w:t>
            </w:r>
          </w:p>
        </w:tc>
        <w:tc>
          <w:tcPr>
            <w:tcW w:w="7512" w:type="dxa"/>
            <w:tcBorders>
              <w:tl2br w:val="nil"/>
              <w:tr2bl w:val="nil"/>
            </w:tcBorders>
            <w:shd w:val="clear" w:color="auto" w:fill="auto"/>
            <w:vAlign w:val="center"/>
          </w:tcPr>
          <w:p>
            <w:pPr>
              <w:ind w:firstLine="420" w:firstLineChars="200"/>
            </w:pPr>
            <w:r>
              <w:t>生物特征识别是模式识别、图像处理、人工智能等学科领域的一个前沿研究方向，是</w:t>
            </w:r>
            <w:r>
              <w:rPr>
                <w:rFonts w:hint="eastAsia"/>
              </w:rPr>
              <w:t>涉及国家社会</w:t>
            </w:r>
            <w:r>
              <w:t>公共安全的战略高技术，同时也是电子信息产业新的增长点。从今年开始，我国已经开始计划在第二代身份证和电子护照中嵌入生物特征信息以提高个体身份认证的可靠性，生物特征识别技术在</w:t>
            </w:r>
            <w:r>
              <w:rPr>
                <w:rFonts w:hint="eastAsia"/>
              </w:rPr>
              <w:t>国家</w:t>
            </w:r>
            <w:r>
              <w:t>的人口管理、安全反恐、</w:t>
            </w:r>
            <w:r>
              <w:rPr>
                <w:rFonts w:hint="eastAsia"/>
              </w:rPr>
              <w:t>机场安检、</w:t>
            </w:r>
            <w:r>
              <w:t>出入境</w:t>
            </w:r>
            <w:r>
              <w:rPr>
                <w:rFonts w:hint="eastAsia"/>
              </w:rPr>
              <w:t>边检</w:t>
            </w:r>
            <w:r>
              <w:t>、</w:t>
            </w:r>
            <w:r>
              <w:rPr>
                <w:rFonts w:hint="eastAsia"/>
              </w:rPr>
              <w:t>门禁与安全系统、权限控制、对象监控、金融防伪、电子商务、</w:t>
            </w:r>
            <w:r>
              <w:t>社保福利等领域发挥重要作用。</w:t>
            </w:r>
          </w:p>
          <w:p>
            <w:pPr>
              <w:spacing w:beforeLines="50"/>
              <w:ind w:firstLine="420" w:firstLineChars="200"/>
            </w:pPr>
            <w:r>
              <w:t>人脸是</w:t>
            </w:r>
            <w:r>
              <w:rPr>
                <w:rFonts w:hint="eastAsia"/>
              </w:rPr>
              <w:t>人类固有的、随着生命的成长持续稳定的生物特征。基于人脸特征的识别技术克服了传统的身份认证方式的不方便、易丢失、易仿制等缺点，具有自然、友好、对用户干扰少、易被接受的特性，</w:t>
            </w:r>
            <w:r>
              <w:t>是</w:t>
            </w:r>
            <w:r>
              <w:rPr>
                <w:rFonts w:hint="eastAsia"/>
              </w:rPr>
              <w:t>生物特征</w:t>
            </w:r>
            <w:r>
              <w:t>识别领域</w:t>
            </w:r>
            <w:r>
              <w:rPr>
                <w:rFonts w:hint="eastAsia"/>
              </w:rPr>
              <w:t>中</w:t>
            </w:r>
            <w:r>
              <w:t>的持续热点。</w:t>
            </w:r>
          </w:p>
          <w:p>
            <w:pPr>
              <w:spacing w:beforeLines="50"/>
              <w:ind w:firstLine="420" w:firstLineChars="200"/>
            </w:pPr>
            <w:r>
              <w:rPr>
                <w:rFonts w:hint="eastAsia"/>
              </w:rPr>
              <w:t>三维人脸识别系统3D-FRS是基于自主开发的光栅投影三维精密测量系统3D-Free，综合图形图像处理技术、海量点云处理与剖分优化技术，数据库等技术，由东南大学自主研发的智能人脸身份识别与认证系统。由3D-Free系统获得高精度和高分辨率的三维人脸点云数据后，经过高效的图形图像分析运算处理，完成人像识别对比，可以自动利用数据库中的信息判断识别对象的身份，也可以从数据库中检索出一系列具有高相似度的疑似人员列表。</w:t>
            </w:r>
          </w:p>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39、基于哈希比特串复用的高速网络流量网络地址测量方法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一种基于哈希比特串复用的高速网络流量网络地址测量方法，设置用于存储网络地址的比特矩阵，将比特矩阵中所有的元素的值设置为</w:t>
            </w:r>
            <w:r>
              <w:t>0</w:t>
            </w:r>
            <w:r>
              <w:rPr>
                <w:rFonts w:hint="eastAsia"/>
              </w:rPr>
              <w:t>，设置用于计算网络地址哈希比特串的哈希函数，哈希函数的输入为一个初始的比特串和网络</w:t>
            </w:r>
            <w:r>
              <w:t>IP</w:t>
            </w:r>
            <w:r>
              <w:rPr>
                <w:rFonts w:hint="eastAsia"/>
              </w:rPr>
              <w:t>地址，输出为一个长度为</w:t>
            </w:r>
            <w:r>
              <w:t>k</w:t>
            </w:r>
            <w:r>
              <w:rPr>
                <w:rFonts w:hint="eastAsia"/>
              </w:rPr>
              <w:t>比特的哈希比特串，计算哈希函数所使用不同初始比特串的数量</w:t>
            </w:r>
            <w:r>
              <w:t>a</w:t>
            </w:r>
            <w:r>
              <w:rPr>
                <w:rFonts w:hint="eastAsia"/>
              </w:rPr>
              <w:t>，设置</w:t>
            </w:r>
            <w:r>
              <w:t>a</w:t>
            </w:r>
            <w:r>
              <w:rPr>
                <w:rFonts w:hint="eastAsia"/>
              </w:rPr>
              <w:t>个不同的初始比特串，测量开始后，对于每个所到达的网络</w:t>
            </w:r>
            <w:r>
              <w:t>IP</w:t>
            </w:r>
            <w:r>
              <w:rPr>
                <w:rFonts w:hint="eastAsia"/>
              </w:rPr>
              <w:t>地址计算其哈希比特串，将网络</w:t>
            </w:r>
            <w:r>
              <w:t>IP</w:t>
            </w:r>
            <w:r>
              <w:rPr>
                <w:rFonts w:hint="eastAsia"/>
              </w:rPr>
              <w:t>地址的存在记录在比特矩阵中，测量结束后将相应的比特矩阵和初始比特串输出。本发明的功能实现快速高效的基于哈希值复用的网络流量</w:t>
            </w:r>
            <w:r>
              <w:t>IP</w:t>
            </w:r>
            <w:r>
              <w:rPr>
                <w:rFonts w:hint="eastAsia"/>
              </w:rPr>
              <w:t>地址测量方法，能够在高速大规模网络环境中使用有限的存储资源记录通过测量器的网络</w:t>
            </w:r>
            <w:r>
              <w:t>IP</w:t>
            </w:r>
            <w:r>
              <w:rPr>
                <w:rFonts w:hint="eastAsi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宋体" w:hAnsi="宋体"/>
                <w:szCs w:val="21"/>
              </w:rPr>
            </w:pPr>
            <w:r>
              <w:rPr>
                <w:rFonts w:hint="eastAsia" w:ascii="宋体" w:hAnsi="宋体"/>
                <w:szCs w:val="21"/>
              </w:rPr>
              <w:t>40、基于双超时网络报文的组流方法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一种基于双超时网络报文的组流方法，设置短超时和长超时，当报文到达测量器，从报文头中提取流信息，在网络流缓存中查找由所测量报文的网络流记录，如果找到所述的网络流记录，更新流结束标识，否则在网络流缓存中增加一条新的网络流记录，如果测量周期结束，则检查网络流缓存中的每条网络流，如果所检查网络流的流结束标识为</w:t>
            </w:r>
            <w:r>
              <w:t>1</w:t>
            </w:r>
            <w:r>
              <w:rPr>
                <w:rFonts w:hint="eastAsia"/>
              </w:rPr>
              <w:t>，则所检查短超时判断网络流结束，否则根据长超时判断网络流结束，本发明采用两个不同时间粒度的流超时机制，大大减少已经结束流在缓存中的存在性，并减少一个流被分割成多段而需要在缓存中进行多次输出流记录、生成新流记录等消耗系统资源的操作，同时又减少后台需要系统资源将多个被分割的短流合并成一个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szCs w:val="21"/>
              </w:rPr>
              <w:t>41、基于</w:t>
            </w:r>
            <w:r>
              <w:rPr>
                <w:rFonts w:asciiTheme="minorEastAsia" w:hAnsiTheme="minorEastAsia"/>
                <w:szCs w:val="21"/>
              </w:rPr>
              <w:t>HybridUML</w:t>
            </w:r>
            <w:r>
              <w:rPr>
                <w:rFonts w:hint="eastAsia" w:asciiTheme="minorEastAsia" w:hAnsiTheme="minorEastAsia"/>
                <w:szCs w:val="21"/>
              </w:rPr>
              <w:t>向微分代数程序转换的</w:t>
            </w:r>
            <w:r>
              <w:rPr>
                <w:rFonts w:asciiTheme="minorEastAsia" w:hAnsiTheme="minorEastAsia"/>
                <w:szCs w:val="21"/>
              </w:rPr>
              <w:t>CPS</w:t>
            </w:r>
            <w:r>
              <w:rPr>
                <w:rFonts w:hint="eastAsia" w:asciiTheme="minorEastAsia" w:hAnsiTheme="minorEastAsia"/>
                <w:szCs w:val="21"/>
              </w:rPr>
              <w:t>建模与验证方法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本发明提出了一种基于</w:t>
            </w:r>
            <w:r>
              <w:t>HybridUML</w:t>
            </w:r>
            <w:r>
              <w:rPr>
                <w:rFonts w:hint="eastAsia"/>
              </w:rPr>
              <w:t>向微分代数程序转换的</w:t>
            </w:r>
            <w:r>
              <w:t>CPS</w:t>
            </w:r>
            <w:r>
              <w:rPr>
                <w:rFonts w:hint="eastAsia"/>
              </w:rPr>
              <w:t>建模与验证方法，实现了由</w:t>
            </w:r>
            <w:r>
              <w:t>HybridUML</w:t>
            </w:r>
            <w:r>
              <w:rPr>
                <w:rFonts w:hint="eastAsia"/>
              </w:rPr>
              <w:t>模型向</w:t>
            </w:r>
            <w:r>
              <w:t>DAP</w:t>
            </w:r>
            <w:r>
              <w:rPr>
                <w:rFonts w:hint="eastAsia"/>
              </w:rPr>
              <w:t>的转换，并依据微分代数动态逻辑</w:t>
            </w:r>
            <w:r>
              <w:t>(Differential-Algebraic Dynamic Logic</w:t>
            </w:r>
            <w:r>
              <w:rPr>
                <w:rFonts w:hint="eastAsia"/>
              </w:rPr>
              <w:t>，</w:t>
            </w:r>
            <w:r>
              <w:t>DAL)</w:t>
            </w:r>
            <w:r>
              <w:rPr>
                <w:rFonts w:hint="eastAsia"/>
              </w:rPr>
              <w:t>推理规则对</w:t>
            </w:r>
            <w:r>
              <w:t>CPS</w:t>
            </w:r>
            <w:r>
              <w:rPr>
                <w:rFonts w:hint="eastAsia"/>
              </w:rPr>
              <w:t>实例进行验证。该方法使用</w:t>
            </w:r>
            <w:r>
              <w:t>HybridUML</w:t>
            </w:r>
            <w:r>
              <w:rPr>
                <w:rFonts w:hint="eastAsia"/>
              </w:rPr>
              <w:t>对</w:t>
            </w:r>
            <w:r>
              <w:t>CPS</w:t>
            </w:r>
            <w:r>
              <w:rPr>
                <w:rFonts w:hint="eastAsia"/>
              </w:rPr>
              <w:t>进行建模，将其转换成</w:t>
            </w:r>
            <w:r>
              <w:t>DAL</w:t>
            </w:r>
            <w:r>
              <w:rPr>
                <w:rFonts w:hint="eastAsia"/>
              </w:rPr>
              <w:t>的操作模型</w:t>
            </w:r>
            <w:r>
              <w:t>DAP</w:t>
            </w:r>
            <w:r>
              <w:rPr>
                <w:rFonts w:hint="eastAsia"/>
              </w:rPr>
              <w:t>，并且基于</w:t>
            </w:r>
            <w:r>
              <w:t>DAL</w:t>
            </w:r>
            <w:r>
              <w:rPr>
                <w:rFonts w:hint="eastAsia"/>
              </w:rPr>
              <w:t>对</w:t>
            </w:r>
            <w:r>
              <w:t>CPS</w:t>
            </w:r>
            <w:r>
              <w:rPr>
                <w:rFonts w:hint="eastAsia"/>
              </w:rPr>
              <w:t>属性进行验证。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szCs w:val="21"/>
              </w:rPr>
            </w:pPr>
            <w:r>
              <w:rPr>
                <w:rFonts w:hint="eastAsia" w:asciiTheme="minorEastAsia" w:hAnsiTheme="minorEastAsia"/>
                <w:color w:val="000000"/>
                <w:szCs w:val="21"/>
              </w:rPr>
              <w:t>42、一种基于形式概念分析的软件维护方法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t> </w:t>
            </w:r>
            <w:r>
              <w:rPr>
                <w:rFonts w:hint="eastAsia"/>
              </w:rPr>
              <w:t>一种基于形式概念分析的软件维护方法，当用户提议某个修改请求，首先利用形式概念分析技术进行特征定位，识别该修改请求在源代码中对应的代码信息即初始的修改集；然后利用形式概念分析构造程序的中间表示，理解源代码中元素之间的依赖关系，辅助程序理解；再根据这些依赖关系进行修改影响分析，得到一种层次化的影响集；最后，根据影响集结果，定义可修改性度量，并根据该度量进行修改评估，从而给出具有指导意义的修改评估结果，判断是否接受该修改；当评估通过该修改方案后，则进入到修改传播分析阶段，需要不断地进行影响分析以及可能需要实施的二次修改，直至完成所有的修改；在修改完成之后，进行回归测试以及调试，保证新系统的一致性以及正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asciiTheme="minorEastAsia" w:hAnsiTheme="minorEastAsia"/>
                <w:color w:val="000000"/>
                <w:szCs w:val="21"/>
              </w:rPr>
              <w:t>43、一种基于微分代数时序动态逻辑的</w:t>
            </w:r>
            <w:r>
              <w:rPr>
                <w:rFonts w:asciiTheme="minorEastAsia" w:hAnsiTheme="minorEastAsia"/>
                <w:color w:val="000000"/>
                <w:szCs w:val="21"/>
              </w:rPr>
              <w:t>CPS</w:t>
            </w:r>
            <w:r>
              <w:rPr>
                <w:rFonts w:hint="eastAsia" w:asciiTheme="minorEastAsia" w:hAnsiTheme="minorEastAsia"/>
                <w:color w:val="000000"/>
                <w:szCs w:val="21"/>
              </w:rPr>
              <w:t>属性验证方法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pPr>
            <w:r>
              <w:rPr>
                <w:rFonts w:hint="eastAsia"/>
              </w:rPr>
              <w:t>本发明提出了一种基于微分代数时序动态逻辑的</w:t>
            </w:r>
            <w:r>
              <w:t>CPS</w:t>
            </w:r>
            <w:r>
              <w:rPr>
                <w:rFonts w:hint="eastAsia"/>
              </w:rPr>
              <w:t>属性验证方法，用于对</w:t>
            </w:r>
            <w:r>
              <w:t>CPS</w:t>
            </w:r>
            <w:r>
              <w:rPr>
                <w:rFonts w:hint="eastAsia"/>
              </w:rPr>
              <w:t>进行系统建模、属性规约和属性验证。本发明涉及到的关键操作包括：</w:t>
            </w:r>
            <w:r>
              <w:t>(1)</w:t>
            </w:r>
            <w:r>
              <w:rPr>
                <w:rFonts w:hint="eastAsia"/>
              </w:rPr>
              <w:t>在对</w:t>
            </w:r>
            <w:r>
              <w:t>CPS</w:t>
            </w:r>
            <w:r>
              <w:rPr>
                <w:rFonts w:hint="eastAsia"/>
              </w:rPr>
              <w:t>详细分析的基础上，使用微分代数程序对</w:t>
            </w:r>
            <w:r>
              <w:t>CPS</w:t>
            </w:r>
            <w:r>
              <w:rPr>
                <w:rFonts w:hint="eastAsia"/>
              </w:rPr>
              <w:t>进行系统建模，得到系统的操作模型；</w:t>
            </w:r>
            <w:r>
              <w:t>(2)</w:t>
            </w:r>
            <w:r>
              <w:rPr>
                <w:rFonts w:hint="eastAsia"/>
              </w:rPr>
              <w:t>使用</w:t>
            </w:r>
            <w:r>
              <w:t>DATL</w:t>
            </w:r>
            <w:r>
              <w:rPr>
                <w:rFonts w:hint="eastAsia"/>
              </w:rPr>
              <w:t>对要验证的</w:t>
            </w:r>
            <w:r>
              <w:t>CPS</w:t>
            </w:r>
            <w:r>
              <w:rPr>
                <w:rFonts w:hint="eastAsia"/>
              </w:rPr>
              <w:t>属性进行规约，得到</w:t>
            </w:r>
            <w:r>
              <w:t>DATL</w:t>
            </w:r>
            <w:r>
              <w:rPr>
                <w:rFonts w:hint="eastAsia"/>
              </w:rPr>
              <w:t>公式，此规约过程考虑了</w:t>
            </w:r>
            <w:r>
              <w:t>CPS</w:t>
            </w:r>
            <w:r>
              <w:rPr>
                <w:rFonts w:hint="eastAsia"/>
              </w:rPr>
              <w:t>的时序行为；</w:t>
            </w:r>
            <w:r>
              <w:t>(3)</w:t>
            </w:r>
            <w:r>
              <w:rPr>
                <w:rFonts w:hint="eastAsia"/>
              </w:rPr>
              <w:t>使用</w:t>
            </w:r>
            <w:r>
              <w:t>DATL</w:t>
            </w:r>
            <w:r>
              <w:rPr>
                <w:rFonts w:hint="eastAsia"/>
              </w:rPr>
              <w:t>中的相继式演算对前面得到的</w:t>
            </w:r>
            <w:r>
              <w:t>DATL</w:t>
            </w:r>
            <w:r>
              <w:rPr>
                <w:rFonts w:hint="eastAsia"/>
              </w:rPr>
              <w:t>公式进行验证，整个演算过程是通过不断地使用</w:t>
            </w:r>
            <w:r>
              <w:t>DATL</w:t>
            </w:r>
            <w:r>
              <w:rPr>
                <w:rFonts w:hint="eastAsia"/>
              </w:rPr>
              <w:t>规则来进行推理，最后得出</w:t>
            </w:r>
            <w:r>
              <w:t>DATL</w:t>
            </w:r>
            <w:r>
              <w:rPr>
                <w:rFonts w:hint="eastAsia"/>
              </w:rPr>
              <w:t>公式成立，也就是</w:t>
            </w:r>
            <w:r>
              <w:t>CPS</w:t>
            </w:r>
            <w:r>
              <w:rPr>
                <w:rFonts w:hint="eastAsia"/>
              </w:rPr>
              <w:t>属性满足。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asciiTheme="minorEastAsia" w:hAnsiTheme="minorEastAsia"/>
                <w:color w:val="000000"/>
                <w:szCs w:val="21"/>
              </w:rPr>
              <w:t>44、一种基于模型转换的</w:t>
            </w:r>
            <w:r>
              <w:rPr>
                <w:rFonts w:asciiTheme="minorEastAsia" w:hAnsiTheme="minorEastAsia"/>
                <w:color w:val="000000"/>
                <w:szCs w:val="21"/>
              </w:rPr>
              <w:t>CPS</w:t>
            </w:r>
            <w:r>
              <w:rPr>
                <w:rFonts w:hint="eastAsia" w:asciiTheme="minorEastAsia" w:hAnsiTheme="minorEastAsia"/>
                <w:color w:val="000000"/>
                <w:szCs w:val="21"/>
              </w:rPr>
              <w:t>建模与验证方法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未知</w:t>
            </w:r>
          </w:p>
        </w:tc>
        <w:tc>
          <w:tcPr>
            <w:tcW w:w="7512" w:type="dxa"/>
            <w:tcBorders>
              <w:tl2br w:val="nil"/>
              <w:tr2bl w:val="nil"/>
            </w:tcBorders>
            <w:shd w:val="clear" w:color="auto" w:fill="auto"/>
            <w:vAlign w:val="center"/>
          </w:tcPr>
          <w:p>
            <w:pPr>
              <w:ind w:firstLine="420" w:firstLineChars="200"/>
            </w:pPr>
            <w:r>
              <w:rPr>
                <w:rFonts w:hint="eastAsia"/>
              </w:rPr>
              <w:t>本发明提出了一种基于模型转换的</w:t>
            </w:r>
            <w:r>
              <w:t>CPS</w:t>
            </w:r>
            <w:r>
              <w:rPr>
                <w:rFonts w:hint="eastAsia"/>
              </w:rPr>
              <w:t>建模与验证方法，主要用于处理</w:t>
            </w:r>
            <w:r>
              <w:t>CPS</w:t>
            </w:r>
            <w:r>
              <w:rPr>
                <w:rFonts w:hint="eastAsia"/>
              </w:rPr>
              <w:t>建模与属性验证问题，本发明涉及到的关键操作包括：</w:t>
            </w:r>
            <w:r>
              <w:t>(1)</w:t>
            </w:r>
            <w:r>
              <w:rPr>
                <w:rFonts w:hint="eastAsia"/>
              </w:rPr>
              <w:t>采用</w:t>
            </w:r>
            <w:r>
              <w:t>HybridUML</w:t>
            </w:r>
            <w:r>
              <w:rPr>
                <w:rFonts w:hint="eastAsia"/>
              </w:rPr>
              <w:t>对</w:t>
            </w:r>
            <w:r>
              <w:t>CPS</w:t>
            </w:r>
            <w:r>
              <w:rPr>
                <w:rFonts w:hint="eastAsia"/>
              </w:rPr>
              <w:t>进行建模，并将所建</w:t>
            </w:r>
            <w:r>
              <w:t>HybridUML</w:t>
            </w:r>
            <w:r>
              <w:rPr>
                <w:rFonts w:hint="eastAsia"/>
              </w:rPr>
              <w:t>模型转换为微分动态逻辑方法的操作模型混合程序</w:t>
            </w:r>
            <w:r>
              <w:t>Hybrid</w:t>
            </w:r>
            <w:r>
              <w:rPr>
                <w:rFonts w:hint="eastAsia"/>
              </w:rPr>
              <w:t>？</w:t>
            </w:r>
            <w:r>
              <w:t>Programs</w:t>
            </w:r>
            <w:r>
              <w:rPr>
                <w:rFonts w:hint="eastAsia"/>
              </w:rPr>
              <w:t>。首先按照</w:t>
            </w:r>
            <w:r>
              <w:t>HybridUML</w:t>
            </w:r>
            <w:r>
              <w:rPr>
                <w:rFonts w:hint="eastAsia"/>
              </w:rPr>
              <w:t>和</w:t>
            </w:r>
            <w:r>
              <w:t>Hybrid</w:t>
            </w:r>
            <w:r>
              <w:rPr>
                <w:rFonts w:hint="eastAsia"/>
              </w:rPr>
              <w:t>？</w:t>
            </w:r>
            <w:r>
              <w:t>Programs</w:t>
            </w:r>
            <w:r>
              <w:rPr>
                <w:rFonts w:hint="eastAsia"/>
              </w:rPr>
              <w:t>元模型元素之间的关系定义模型转换的规则，并生成规则应用的模板，再在模型层次应用规则进行模型转换自动生成</w:t>
            </w:r>
            <w:r>
              <w:t>Hybrid</w:t>
            </w:r>
            <w:r>
              <w:rPr>
                <w:rFonts w:hint="eastAsia"/>
              </w:rPr>
              <w:t>？</w:t>
            </w:r>
            <w:r>
              <w:t>Programs</w:t>
            </w:r>
            <w:r>
              <w:rPr>
                <w:rFonts w:hint="eastAsia"/>
              </w:rPr>
              <w:t>；</w:t>
            </w:r>
            <w:r>
              <w:t>(2)</w:t>
            </w:r>
            <w:r>
              <w:rPr>
                <w:rFonts w:hint="eastAsia"/>
              </w:rPr>
              <w:t>将得到的</w:t>
            </w:r>
            <w:r>
              <w:t>Hybrid</w:t>
            </w:r>
            <w:r>
              <w:rPr>
                <w:rFonts w:hint="eastAsia"/>
              </w:rPr>
              <w:t>？</w:t>
            </w:r>
            <w:r>
              <w:t>Programs</w:t>
            </w:r>
            <w:r>
              <w:rPr>
                <w:rFonts w:hint="eastAsia"/>
              </w:rPr>
              <w:t>根据定理证明器</w:t>
            </w:r>
            <w:r>
              <w:t>KeYmaera</w:t>
            </w:r>
            <w:r>
              <w:rPr>
                <w:rFonts w:hint="eastAsia"/>
              </w:rPr>
              <w:t>的输入格式，生成输入代码，在</w:t>
            </w:r>
            <w:r>
              <w:t>KeYmaera</w:t>
            </w:r>
            <w:r>
              <w:rPr>
                <w:rFonts w:hint="eastAsia"/>
              </w:rPr>
              <w:t>中进行推理验证。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asciiTheme="minorEastAsia" w:hAnsiTheme="minorEastAsia"/>
                <w:color w:val="000000"/>
                <w:szCs w:val="21"/>
              </w:rPr>
              <w:t>45、基于</w:t>
            </w:r>
            <w:r>
              <w:rPr>
                <w:rFonts w:asciiTheme="minorEastAsia" w:hAnsiTheme="minorEastAsia"/>
                <w:color w:val="000000"/>
                <w:szCs w:val="21"/>
              </w:rPr>
              <w:t>HybridUML</w:t>
            </w:r>
            <w:r>
              <w:rPr>
                <w:rFonts w:hint="eastAsia" w:asciiTheme="minorEastAsia" w:hAnsiTheme="minorEastAsia"/>
                <w:color w:val="000000"/>
                <w:szCs w:val="21"/>
              </w:rPr>
              <w:t>和定理证明的</w:t>
            </w:r>
            <w:r>
              <w:rPr>
                <w:rFonts w:asciiTheme="minorEastAsia" w:hAnsiTheme="minorEastAsia"/>
                <w:color w:val="000000"/>
                <w:szCs w:val="21"/>
              </w:rPr>
              <w:t>CPS</w:t>
            </w:r>
            <w:r>
              <w:rPr>
                <w:rFonts w:hint="eastAsia" w:asciiTheme="minorEastAsia" w:hAnsiTheme="minorEastAsia"/>
                <w:color w:val="000000"/>
                <w:szCs w:val="21"/>
              </w:rPr>
              <w:t>自适应性验证方法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技术咨询</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技术服务</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未知</w:t>
            </w:r>
          </w:p>
        </w:tc>
        <w:tc>
          <w:tcPr>
            <w:tcW w:w="7512" w:type="dxa"/>
            <w:tcBorders>
              <w:tl2br w:val="nil"/>
              <w:tr2bl w:val="nil"/>
            </w:tcBorders>
            <w:shd w:val="clear" w:color="auto" w:fill="auto"/>
            <w:vAlign w:val="center"/>
          </w:tcPr>
          <w:p>
            <w:pPr>
              <w:ind w:firstLine="420" w:firstLineChars="200"/>
            </w:pPr>
            <w:r>
              <w:rPr>
                <w:rFonts w:hint="eastAsia"/>
              </w:rPr>
              <w:t>本发明提出一种基于</w:t>
            </w:r>
            <w:r>
              <w:t>HybridUML</w:t>
            </w:r>
            <w:r>
              <w:rPr>
                <w:rFonts w:hint="eastAsia"/>
              </w:rPr>
              <w:t>和定理证明的</w:t>
            </w:r>
            <w:r>
              <w:t>CPS</w:t>
            </w:r>
            <w:r>
              <w:rPr>
                <w:rFonts w:hint="eastAsia"/>
              </w:rPr>
              <w:t>自适应性验证方法，主要用于解决形式化验证方法理论性过强所带来的难以普遍应用的难题。本发明步骤包括：首先利用</w:t>
            </w:r>
            <w:r>
              <w:t>HybridUML</w:t>
            </w:r>
            <w:r>
              <w:rPr>
                <w:rFonts w:hint="eastAsia"/>
              </w:rPr>
              <w:t>视图对</w:t>
            </w:r>
            <w:r>
              <w:t>CPS</w:t>
            </w:r>
            <w:r>
              <w:rPr>
                <w:rFonts w:hint="eastAsia"/>
              </w:rPr>
              <w:t>建模；然后将</w:t>
            </w:r>
            <w:r>
              <w:t>HybridUML</w:t>
            </w:r>
            <w:r>
              <w:rPr>
                <w:rFonts w:hint="eastAsia"/>
              </w:rPr>
              <w:t>规约转换为定理证明器</w:t>
            </w:r>
            <w:r>
              <w:t>KeYmaera</w:t>
            </w:r>
            <w:r>
              <w:rPr>
                <w:rFonts w:hint="eastAsia"/>
              </w:rPr>
              <w:t>的输入</w:t>
            </w:r>
            <w:r>
              <w:t>-</w:t>
            </w:r>
            <w:r>
              <w:rPr>
                <w:rFonts w:hint="eastAsia"/>
              </w:rPr>
              <w:t>量化混合程序</w:t>
            </w:r>
            <w:r>
              <w:t>QHP</w:t>
            </w:r>
            <w:r>
              <w:rPr>
                <w:rFonts w:hint="eastAsia"/>
              </w:rPr>
              <w:t>；结合生成的</w:t>
            </w:r>
            <w:r>
              <w:t>QHP</w:t>
            </w:r>
            <w:r>
              <w:rPr>
                <w:rFonts w:hint="eastAsia"/>
              </w:rPr>
              <w:t>，以量化微分动态逻辑</w:t>
            </w:r>
            <w:r>
              <w:t>QdL</w:t>
            </w:r>
            <w:r>
              <w:rPr>
                <w:rFonts w:hint="eastAsia"/>
              </w:rPr>
              <w:t>公式的形式对待验证的属性进行规约，然后利用</w:t>
            </w:r>
            <w:r>
              <w:t>KeYmaera</w:t>
            </w:r>
            <w:r>
              <w:rPr>
                <w:rFonts w:hint="eastAsia"/>
              </w:rPr>
              <w:t>进行自动验证；进行模型转换之前，需要定义</w:t>
            </w:r>
            <w:r>
              <w:t>HybridUML</w:t>
            </w:r>
            <w:r>
              <w:rPr>
                <w:rFonts w:hint="eastAsia"/>
              </w:rPr>
              <w:t>和</w:t>
            </w:r>
            <w:r>
              <w:t>QHP</w:t>
            </w:r>
            <w:r>
              <w:rPr>
                <w:rFonts w:hint="eastAsia"/>
              </w:rPr>
              <w:t>的元模型，转换时首先消除顶层</w:t>
            </w:r>
            <w:r>
              <w:t>Mode</w:t>
            </w:r>
            <w:r>
              <w:rPr>
                <w:rFonts w:hint="eastAsia"/>
              </w:rPr>
              <w:t>具有的层次性，转换后得到的模型称为</w:t>
            </w:r>
            <w:r>
              <w:t>FlatMode</w:t>
            </w:r>
            <w:r>
              <w:rPr>
                <w:rFonts w:hint="eastAsia"/>
              </w:rPr>
              <w:t>，然后根据</w:t>
            </w:r>
            <w:r>
              <w:t>FlatMode</w:t>
            </w:r>
            <w:r>
              <w:rPr>
                <w:rFonts w:hint="eastAsia"/>
              </w:rPr>
              <w:t>和</w:t>
            </w:r>
            <w:r>
              <w:t>QHP</w:t>
            </w:r>
            <w:r>
              <w:rPr>
                <w:rFonts w:hint="eastAsia"/>
              </w:rPr>
              <w:t>之间宏观语义以及元语义的一致性确定转换规则，然后利用</w:t>
            </w:r>
            <w:r>
              <w:t>ATL</w:t>
            </w:r>
            <w:r>
              <w:rPr>
                <w:rFonts w:hint="eastAsia"/>
              </w:rPr>
              <w:t>语言描述转换规则，实现</w:t>
            </w:r>
            <w:r>
              <w:t>FlatMode</w:t>
            </w:r>
            <w:r>
              <w:rPr>
                <w:rFonts w:hint="eastAsia"/>
              </w:rPr>
              <w:t>模型到</w:t>
            </w:r>
            <w:r>
              <w:t>QHP</w:t>
            </w:r>
            <w:r>
              <w:rPr>
                <w:rFonts w:hint="eastAsia"/>
              </w:rPr>
              <w:t>媒介模型的转换，然后利用自定义模板语言实现</w:t>
            </w:r>
            <w:r>
              <w:t>QHP</w:t>
            </w:r>
            <w:r>
              <w:rPr>
                <w:rFonts w:hint="eastAsia"/>
              </w:rPr>
              <w:t>媒介模型到</w:t>
            </w:r>
            <w:r>
              <w:t>QHP</w:t>
            </w:r>
            <w:r>
              <w:rPr>
                <w:rFonts w:hint="eastAsia"/>
              </w:rPr>
              <w:t>代码的转换。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rFonts w:asciiTheme="minorEastAsia" w:hAnsiTheme="minorEastAsia"/>
                <w:color w:val="000000"/>
                <w:szCs w:val="21"/>
              </w:rPr>
            </w:pPr>
            <w:r>
              <w:rPr>
                <w:rFonts w:hint="eastAsia"/>
              </w:rPr>
              <w:t>46、动态交互网络环境下网构软件主体系统信任协商构建方法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spacing w:line="360" w:lineRule="exact"/>
              <w:ind w:firstLine="420"/>
            </w:pPr>
            <w:r>
              <w:rPr>
                <w:rFonts w:hint="eastAsia"/>
              </w:rPr>
              <w:t>本专利提出一种动态交互网络环境下网构软件主体系统信任协商构建方法，软件主体根据自己的信任信息建立信任关系，避免了使用证书交换导致信任协商变得复杂繁琐；不需要合作的主体每次交互都重新建立信任关系，软件主体之间不断的信息交互使每个软件主体逐步拥有全局的信任信息。</w:t>
            </w:r>
          </w:p>
          <w:p>
            <w:pPr>
              <w:ind w:firstLine="420" w:firstLineChars="200"/>
            </w:pPr>
            <w:r>
              <w:rPr>
                <w:rFonts w:hint="eastAsia"/>
              </w:rPr>
              <w:t>每个软件主体都拥有自己的信任信息，即信任度与合作度，需要合作的两个主体根据合作的方向选择对应的信任度和合作度（契合度）建立信任关系；信任关系建立的成功与否需要与参考值比较，该参考值是按照系统中主体拥有平均信任信息时契合度的计算值；当契合度大于该参考值时建立信任关系，该方法避免了使用证书所带来的麻烦，使得信任关系的建立变得更加简单和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pPr>
            <w:r>
              <w:rPr>
                <w:rFonts w:hint="eastAsia"/>
                <w:szCs w:val="21"/>
              </w:rPr>
              <w:t>47、网络结构化多主体系统中任务执行的资源缓存方法</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rPr>
                <w:rFonts w:ascii="宋体"/>
                <w:szCs w:val="21"/>
              </w:rPr>
            </w:pPr>
            <w:r>
              <w:rPr>
                <w:rFonts w:hint="eastAsia" w:ascii="宋体" w:hAnsi="宋体"/>
                <w:szCs w:val="21"/>
              </w:rPr>
              <w:t>本专利提出一种网络结构化多主体系统中任务执行的资源缓存方法，每当主体执行任务调用所需资源时，还需对调用的资源进行缓存：如果调用的是原始资源，那么就产生一个该资源的副本，该副本向调用主体移动一步；如果调用的是资源副本，那么直接将该副本向这个主体移动一步。因此，当以后该主体执行任务需调用该资源时，就会比调用原始资源更节省时间，故而提高任务执行的效率。</w:t>
            </w:r>
          </w:p>
          <w:p>
            <w:pPr>
              <w:spacing w:line="360" w:lineRule="exact"/>
              <w:ind w:firstLine="420"/>
            </w:pPr>
            <w:r>
              <w:rPr>
                <w:rFonts w:ascii="宋体" w:hAnsi="宋体"/>
                <w:szCs w:val="21"/>
              </w:rPr>
              <w:t xml:space="preserve">    </w:t>
            </w:r>
            <w:r>
              <w:rPr>
                <w:rFonts w:hint="eastAsia" w:ascii="宋体" w:hAnsi="宋体"/>
                <w:szCs w:val="21"/>
              </w:rPr>
              <w:t>另外，为了防止系统中存在过量的资源副本对网络造成拥塞，本发明还提出了资源缓存的消逝机制：设置一个时间段，网络中的资源副本每隔一个时间段就会向其原始位置回退一步；如果一个资源副本很长时间没有被调用，那么它就会逐步再回退到其原始位置，从而资源副本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820" w:type="dxa"/>
            <w:tcBorders>
              <w:tl2br w:val="nil"/>
              <w:tr2bl w:val="nil"/>
            </w:tcBorders>
            <w:shd w:val="clear" w:color="auto" w:fill="auto"/>
            <w:vAlign w:val="center"/>
          </w:tcPr>
          <w:p>
            <w:pPr>
              <w:widowControl/>
              <w:jc w:val="center"/>
              <w:rPr>
                <w:rFonts w:ascii="宋体" w:hAnsi="宋体" w:eastAsia="宋体" w:cs="宋体"/>
                <w:color w:val="000000"/>
                <w:kern w:val="0"/>
                <w:szCs w:val="21"/>
              </w:rPr>
            </w:pPr>
          </w:p>
        </w:tc>
        <w:tc>
          <w:tcPr>
            <w:tcW w:w="2717" w:type="dxa"/>
            <w:tcBorders>
              <w:tl2br w:val="nil"/>
              <w:tr2bl w:val="nil"/>
            </w:tcBorders>
            <w:shd w:val="clear" w:color="auto" w:fill="auto"/>
            <w:vAlign w:val="center"/>
          </w:tcPr>
          <w:p>
            <w:pPr>
              <w:widowControl/>
              <w:rPr>
                <w:szCs w:val="21"/>
              </w:rPr>
            </w:pPr>
            <w:r>
              <w:rPr>
                <w:rFonts w:hint="eastAsia" w:ascii="宋体" w:hAnsi="宋体"/>
                <w:szCs w:val="21"/>
              </w:rPr>
              <w:t>48、有机聚合物电致发光材料（</w:t>
            </w:r>
            <w:r>
              <w:rPr>
                <w:rFonts w:ascii="宋体" w:hAnsi="宋体"/>
                <w:szCs w:val="21"/>
              </w:rPr>
              <w:t>PLEDs</w:t>
            </w:r>
            <w:r>
              <w:rPr>
                <w:rFonts w:hint="eastAsia" w:ascii="宋体" w:hAnsi="宋体"/>
                <w:szCs w:val="21"/>
              </w:rPr>
              <w:t>）</w:t>
            </w:r>
          </w:p>
        </w:tc>
        <w:tc>
          <w:tcPr>
            <w:tcW w:w="1128"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产权转让</w:t>
            </w:r>
          </w:p>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合作开发</w:t>
            </w:r>
          </w:p>
        </w:tc>
        <w:tc>
          <w:tcPr>
            <w:tcW w:w="1684" w:type="dxa"/>
            <w:tcBorders>
              <w:tl2br w:val="nil"/>
              <w:tr2bl w:val="nil"/>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研制阶段</w:t>
            </w:r>
          </w:p>
        </w:tc>
        <w:tc>
          <w:tcPr>
            <w:tcW w:w="7512" w:type="dxa"/>
            <w:tcBorders>
              <w:tl2br w:val="nil"/>
              <w:tr2bl w:val="nil"/>
            </w:tcBorders>
            <w:shd w:val="clear" w:color="auto" w:fill="auto"/>
            <w:vAlign w:val="center"/>
          </w:tcPr>
          <w:p>
            <w:pPr>
              <w:ind w:firstLine="420" w:firstLineChars="200"/>
              <w:rPr>
                <w:szCs w:val="21"/>
              </w:rPr>
            </w:pPr>
            <w:r>
              <w:rPr>
                <w:szCs w:val="21"/>
              </w:rPr>
              <w:t xml:space="preserve">PLEDs </w:t>
            </w:r>
            <w:r>
              <w:rPr>
                <w:rFonts w:hint="eastAsia"/>
                <w:szCs w:val="21"/>
              </w:rPr>
              <w:t>光电功能材料具有良好的溶解性、成膜性和热稳定性，高量子效率的荧光特性，良好的半导体性能，即能传导电子或空穴，或两者兼具。</w:t>
            </w:r>
            <w:r>
              <w:rPr>
                <w:szCs w:val="21"/>
              </w:rPr>
              <w:t xml:space="preserve"> </w:t>
            </w:r>
            <w:r>
              <w:rPr>
                <w:rFonts w:hint="eastAsia"/>
                <w:szCs w:val="21"/>
              </w:rPr>
              <w:t>本项目系列产品可用于显示器件、太阳能电池、生物传感、压力传感、印刷电路等领域。</w:t>
            </w:r>
          </w:p>
          <w:p>
            <w:pPr>
              <w:rPr>
                <w:rFonts w:ascii="宋体" w:hAnsi="宋体"/>
                <w:szCs w:val="21"/>
              </w:rPr>
            </w:pPr>
            <w:r>
              <w:rPr>
                <w:rFonts w:hint="eastAsia"/>
                <w:szCs w:val="21"/>
              </w:rPr>
              <w:t>授权中国发明专利：</w:t>
            </w:r>
            <w:r>
              <w:rPr>
                <w:szCs w:val="21"/>
              </w:rPr>
              <w:t>ZL 101328256</w:t>
            </w:r>
            <w:r>
              <w:rPr>
                <w:rFonts w:hint="eastAsia"/>
                <w:szCs w:val="21"/>
              </w:rPr>
              <w:t>，</w:t>
            </w:r>
            <w:r>
              <w:rPr>
                <w:szCs w:val="21"/>
              </w:rPr>
              <w:t xml:space="preserve">ZL </w:t>
            </w:r>
            <w:r>
              <w:fldChar w:fldCharType="begin"/>
            </w:r>
            <w:r>
              <w:instrText xml:space="preserve"> HYPERLINK "http://zhuanli360.net/n-201110389116.5.html" </w:instrText>
            </w:r>
            <w:r>
              <w:fldChar w:fldCharType="separate"/>
            </w:r>
            <w:r>
              <w:rPr>
                <w:szCs w:val="21"/>
              </w:rPr>
              <w:t>201110389116.5</w:t>
            </w:r>
            <w:r>
              <w:rPr>
                <w:szCs w:val="21"/>
              </w:rPr>
              <w:fldChar w:fldCharType="end"/>
            </w:r>
            <w:r>
              <w:rPr>
                <w:rFonts w:hint="eastAsia"/>
                <w:szCs w:val="21"/>
              </w:rPr>
              <w:t>，</w:t>
            </w:r>
            <w:r>
              <w:rPr>
                <w:szCs w:val="21"/>
              </w:rPr>
              <w:t xml:space="preserve">CN </w:t>
            </w:r>
            <w:r>
              <w:fldChar w:fldCharType="begin"/>
            </w:r>
            <w:r>
              <w:instrText xml:space="preserve"> HYPERLINK "http://zhuanli360.net/n-201110397520.7.html" </w:instrText>
            </w:r>
            <w:r>
              <w:fldChar w:fldCharType="separate"/>
            </w:r>
            <w:r>
              <w:rPr>
                <w:szCs w:val="21"/>
              </w:rPr>
              <w:t>201110397520.7</w:t>
            </w:r>
            <w:r>
              <w:rPr>
                <w:szCs w:val="21"/>
              </w:rPr>
              <w:fldChar w:fldCharType="end"/>
            </w:r>
            <w:r>
              <w:rPr>
                <w:szCs w:val="21"/>
              </w:rPr>
              <w:t xml:space="preserve">  </w:t>
            </w:r>
          </w:p>
        </w:tc>
      </w:tr>
    </w:tbl>
    <w:p/>
    <w:p/>
    <w:sectPr>
      <w:pgSz w:w="16838" w:h="11906" w:orient="landscape"/>
      <w:pgMar w:top="1134" w:right="1440" w:bottom="99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7F0"/>
    <w:multiLevelType w:val="multilevel"/>
    <w:tmpl w:val="294917F0"/>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4943437"/>
    <w:multiLevelType w:val="multilevel"/>
    <w:tmpl w:val="7494343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1E"/>
    <w:rsid w:val="0002585E"/>
    <w:rsid w:val="00077091"/>
    <w:rsid w:val="000D6CB1"/>
    <w:rsid w:val="00143693"/>
    <w:rsid w:val="001E1767"/>
    <w:rsid w:val="001F3B0C"/>
    <w:rsid w:val="00217DC6"/>
    <w:rsid w:val="002359B2"/>
    <w:rsid w:val="00281B43"/>
    <w:rsid w:val="002C07AC"/>
    <w:rsid w:val="00335ACB"/>
    <w:rsid w:val="0036081E"/>
    <w:rsid w:val="003C60A0"/>
    <w:rsid w:val="00441862"/>
    <w:rsid w:val="00480739"/>
    <w:rsid w:val="0049722A"/>
    <w:rsid w:val="004C3814"/>
    <w:rsid w:val="004C75B2"/>
    <w:rsid w:val="005403BF"/>
    <w:rsid w:val="005F6443"/>
    <w:rsid w:val="006B4C4D"/>
    <w:rsid w:val="006D6018"/>
    <w:rsid w:val="00703910"/>
    <w:rsid w:val="00795FA8"/>
    <w:rsid w:val="008150A9"/>
    <w:rsid w:val="00905F8F"/>
    <w:rsid w:val="009458A1"/>
    <w:rsid w:val="009C7B26"/>
    <w:rsid w:val="009E3AFB"/>
    <w:rsid w:val="009E6DEF"/>
    <w:rsid w:val="00A14BEB"/>
    <w:rsid w:val="00A95D36"/>
    <w:rsid w:val="00AC7931"/>
    <w:rsid w:val="00B42195"/>
    <w:rsid w:val="00BA308A"/>
    <w:rsid w:val="00E61E04"/>
    <w:rsid w:val="00E7707A"/>
    <w:rsid w:val="00EA3A1B"/>
    <w:rsid w:val="00F03DC1"/>
    <w:rsid w:val="00F17BCC"/>
    <w:rsid w:val="00FA7757"/>
    <w:rsid w:val="00FC6608"/>
    <w:rsid w:val="19111FA4"/>
    <w:rsid w:val="1FD1364F"/>
    <w:rsid w:val="62843FC4"/>
    <w:rsid w:val="6C7A7ED4"/>
    <w:rsid w:val="725707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页眉 Char"/>
    <w:basedOn w:val="5"/>
    <w:link w:val="3"/>
    <w:semiHidden/>
    <w:uiPriority w:val="99"/>
    <w:rPr>
      <w:kern w:val="2"/>
      <w:sz w:val="18"/>
      <w:szCs w:val="18"/>
    </w:rPr>
  </w:style>
  <w:style w:type="character" w:customStyle="1" w:styleId="8">
    <w:name w:val="页脚 Char"/>
    <w:basedOn w:val="5"/>
    <w:link w:val="2"/>
    <w:semiHidden/>
    <w:qFormat/>
    <w:uiPriority w:val="99"/>
    <w:rPr>
      <w:kern w:val="2"/>
      <w:sz w:val="18"/>
      <w:szCs w:val="18"/>
    </w:rPr>
  </w:style>
  <w:style w:type="paragraph" w:customStyle="1" w:styleId="9">
    <w:name w:val="列出段落1"/>
    <w:basedOn w:val="1"/>
    <w:qFormat/>
    <w:uiPriority w:val="0"/>
    <w:pPr>
      <w:ind w:firstLine="420" w:firstLineChars="200"/>
    </w:pPr>
    <w:rPr>
      <w:rFonts w:ascii="Calibri" w:hAnsi="Calibri" w:eastAsia="宋体" w:cs="Times New Roman"/>
    </w:rPr>
  </w:style>
  <w:style w:type="character" w:customStyle="1" w:styleId="10">
    <w:name w:val="HTML 预设格式 Char"/>
    <w:basedOn w:val="5"/>
    <w:link w:val="4"/>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11F29-827E-4BCA-AA82-24AA8C62F5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2455</Words>
  <Characters>13994</Characters>
  <Lines>116</Lines>
  <Paragraphs>32</Paragraphs>
  <TotalTime>1</TotalTime>
  <ScaleCrop>false</ScaleCrop>
  <LinksUpToDate>false</LinksUpToDate>
  <CharactersWithSpaces>16417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2018-06-11T09:11:00Z</dcterms:created>
  <dc:creator>Administrator</dc:creator>
  <cp:lastModifiedBy>谭AA</cp:lastModifiedBy>
  <cp:lastPrinted>2018-05-14T07:22:00Z</cp:lastPrinted>
  <dcterms:modified xsi:type="dcterms:W3CDTF">2018-06-29T03:16:05Z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